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60"/>
        <w:jc w:val="center"/>
      </w:pPr>
      <w:r>
        <w:rPr>
          <w:b/>
          <w:bCs/>
          <w:color w:val="243B67"/>
          <w:sz w:val="34"/>
          <w:szCs w:val="34"/>
        </w:rPr>
        <w:t xml:space="preserve">Bilan de carrière</w:t>
      </w:r>
    </w:p>
    <w:p>
      <w:pPr>
        <w:spacing w:after="350"/>
        <w:jc w:val="center"/>
      </w:pPr>
      <w:r>
        <w:rPr>
          <w:i/>
          <w:iCs/>
          <w:color w:val="6C7786"/>
          <w:sz w:val="20"/>
          <w:szCs w:val="20"/>
        </w:rPr>
        <w:t xml:space="preserve">Document de travail – bilan et projection professionnelle</w:t>
      </w:r>
    </w:p>
    <w:p>
      <w:pPr>
        <w:pStyle w:val="Heading1"/>
        <w:spacing w:before="260" w:after="150"/>
      </w:pPr>
      <w:r>
        <w:rPr>
          <w:b/>
          <w:bCs/>
          <w:color w:val="7258C7"/>
        </w:rPr>
        <w:t xml:space="preserve">Repères de carrière</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Nom</w:t>
            </w:r>
          </w:p>
        </w:tc>
        <w:tc>
          <w:tcPr>
            <w:tcW w:type="pct" w:w="68%"/>
            <w:tcMar>
              <w:top w:type="dxa" w:w="130"/>
              <w:left w:type="dxa" w:w="150"/>
              <w:bottom w:type="dxa" w:w="130"/>
              <w:right w:type="dxa" w:w="150"/>
            </w:tcMar>
          </w:tcPr>
          <w:p>
            <w:pPr>
              <w:spacing w:line="280"/>
            </w:pPr>
            <w:r>
              <w:rPr>
                <w:sz w:val="21"/>
                <w:szCs w:val="21"/>
              </w:rPr>
              <w:t xml:space="preserve">Adrien Valmont</w:t>
            </w:r>
          </w:p>
        </w:tc>
      </w:tr>
      <w:tr>
        <w:tc>
          <w:tcPr>
            <w:tcW w:type="pct" w:w="32%"/>
            <w:shd w:fill="EEF2F8" w:val="clear"/>
            <w:tcMar>
              <w:top w:type="dxa" w:w="130"/>
              <w:left w:type="dxa" w:w="130"/>
              <w:bottom w:type="dxa" w:w="130"/>
              <w:right w:type="dxa" w:w="130"/>
            </w:tcMar>
          </w:tcPr>
          <w:p>
            <w:r>
              <w:rPr>
                <w:b/>
                <w:bCs/>
                <w:color w:val="243B67"/>
              </w:rPr>
              <w:t xml:space="preserve">Métier actuel</w:t>
            </w:r>
          </w:p>
        </w:tc>
        <w:tc>
          <w:tcPr>
            <w:tcW w:type="pct" w:w="68%"/>
            <w:tcMar>
              <w:top w:type="dxa" w:w="130"/>
              <w:left w:type="dxa" w:w="150"/>
              <w:bottom w:type="dxa" w:w="130"/>
              <w:right w:type="dxa" w:w="150"/>
            </w:tcMar>
          </w:tcPr>
          <w:p>
            <w:pPr>
              <w:spacing w:line="280"/>
            </w:pPr>
            <w:r>
              <w:rPr>
                <w:sz w:val="21"/>
                <w:szCs w:val="21"/>
              </w:rPr>
              <w:t xml:space="preserve">Responsable logistique</w:t>
            </w:r>
          </w:p>
        </w:tc>
      </w:tr>
      <w:tr>
        <w:tc>
          <w:tcPr>
            <w:tcW w:type="pct" w:w="32%"/>
            <w:shd w:fill="EEF2F8" w:val="clear"/>
            <w:tcMar>
              <w:top w:type="dxa" w:w="130"/>
              <w:left w:type="dxa" w:w="130"/>
              <w:bottom w:type="dxa" w:w="130"/>
              <w:right w:type="dxa" w:w="130"/>
            </w:tcMar>
          </w:tcPr>
          <w:p>
            <w:r>
              <w:rPr>
                <w:b/>
                <w:bCs/>
                <w:color w:val="243B67"/>
              </w:rPr>
              <w:t xml:space="preserve">Nombre d'années d'expérience</w:t>
            </w:r>
          </w:p>
        </w:tc>
        <w:tc>
          <w:tcPr>
            <w:tcW w:type="pct" w:w="68%"/>
            <w:tcMar>
              <w:top w:type="dxa" w:w="130"/>
              <w:left w:type="dxa" w:w="150"/>
              <w:bottom w:type="dxa" w:w="130"/>
              <w:right w:type="dxa" w:w="150"/>
            </w:tcMar>
          </w:tcPr>
          <w:p>
            <w:pPr>
              <w:spacing w:line="280"/>
            </w:pPr>
            <w:r>
              <w:rPr>
                <w:sz w:val="21"/>
                <w:szCs w:val="21"/>
              </w:rPr>
              <w:t xml:space="preserve">12 ans</w:t>
            </w:r>
          </w:p>
        </w:tc>
      </w:tr>
      <w:tr>
        <w:tc>
          <w:tcPr>
            <w:tcW w:type="pct" w:w="32%"/>
            <w:shd w:fill="EEF2F8" w:val="clear"/>
            <w:tcMar>
              <w:top w:type="dxa" w:w="130"/>
              <w:left w:type="dxa" w:w="130"/>
              <w:bottom w:type="dxa" w:w="130"/>
              <w:right w:type="dxa" w:w="130"/>
            </w:tcMar>
          </w:tcPr>
          <w:p>
            <w:r>
              <w:rPr>
                <w:b/>
                <w:bCs/>
                <w:color w:val="243B67"/>
              </w:rPr>
              <w:t xml:space="preserve">Secteurs connus</w:t>
            </w:r>
          </w:p>
        </w:tc>
        <w:tc>
          <w:tcPr>
            <w:tcW w:type="pct" w:w="68%"/>
            <w:tcMar>
              <w:top w:type="dxa" w:w="130"/>
              <w:left w:type="dxa" w:w="150"/>
              <w:bottom w:type="dxa" w:w="130"/>
              <w:right w:type="dxa" w:w="150"/>
            </w:tcMar>
          </w:tcPr>
          <w:p>
            <w:pPr>
              <w:spacing w:line="280"/>
            </w:pPr>
            <w:r>
              <w:rPr>
                <w:sz w:val="21"/>
                <w:szCs w:val="21"/>
              </w:rPr>
              <w:t xml:space="preserve">Logistique, distribution, supply chain et services B2B</w:t>
            </w:r>
          </w:p>
        </w:tc>
      </w:tr>
    </w:tbl>
    <w:p>
      <w:pPr>
        <w:spacing w:after="130"/>
      </w:pPr>
    </w:p>
    <w:p>
      <w:pPr>
        <w:pStyle w:val="Heading1"/>
        <w:spacing w:before="260" w:after="150"/>
      </w:pPr>
      <w:r>
        <w:rPr>
          <w:b/>
          <w:bCs/>
          <w:color w:val="7258C7"/>
        </w:rPr>
        <w:t xml:space="preserve">Les grandes étapes</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Étapes significatives du parcours</w:t>
            </w:r>
          </w:p>
        </w:tc>
        <w:tc>
          <w:tcPr>
            <w:tcW w:type="pct" w:w="68%"/>
            <w:tcMar>
              <w:top w:type="dxa" w:w="130"/>
              <w:left w:type="dxa" w:w="150"/>
              <w:bottom w:type="dxa" w:w="130"/>
              <w:right w:type="dxa" w:w="150"/>
            </w:tcMar>
          </w:tcPr>
          <w:p>
            <w:pPr>
              <w:spacing w:line="280"/>
            </w:pPr>
            <w:r>
              <w:rPr>
                <w:sz w:val="21"/>
                <w:szCs w:val="21"/>
              </w:rPr>
              <w:t xml:space="preserve">Mon parcours a débuté dans la gestion opérationnelle des stocks et des approvisionnements. J’ai ensuite évolué vers des fonctions de coordinateur logistique, puis de responsable logistique. Cette progression m’a permis de passer progressivement de l’exécution et du suivi quotidien à l’organisation des flux, au pilotage d’indicateurs et à la coordination d’équipes et de prestataires.</w:t>
            </w:r>
          </w:p>
        </w:tc>
      </w:tr>
      <w:tr>
        <w:tc>
          <w:tcPr>
            <w:tcW w:type="pct" w:w="32%"/>
            <w:shd w:fill="EEF2F8" w:val="clear"/>
            <w:tcMar>
              <w:top w:type="dxa" w:w="130"/>
              <w:left w:type="dxa" w:w="130"/>
              <w:bottom w:type="dxa" w:w="130"/>
              <w:right w:type="dxa" w:w="130"/>
            </w:tcMar>
          </w:tcPr>
          <w:p>
            <w:r>
              <w:rPr>
                <w:b/>
                <w:bCs/>
                <w:color w:val="243B67"/>
              </w:rPr>
              <w:t xml:space="preserve">Responsabilités exercées</w:t>
            </w:r>
          </w:p>
        </w:tc>
        <w:tc>
          <w:tcPr>
            <w:tcW w:type="pct" w:w="68%"/>
            <w:tcMar>
              <w:top w:type="dxa" w:w="130"/>
              <w:left w:type="dxa" w:w="150"/>
              <w:bottom w:type="dxa" w:w="130"/>
              <w:right w:type="dxa" w:w="150"/>
            </w:tcMar>
          </w:tcPr>
          <w:p>
            <w:pPr>
              <w:spacing w:line="280"/>
            </w:pPr>
            <w:r>
              <w:rPr>
                <w:sz w:val="21"/>
                <w:szCs w:val="21"/>
              </w:rPr>
              <w:t xml:space="preserve">J’ai assuré la planification des approvisionnements, le suivi des niveaux de stock, la coordination des opérations logistiques, le management d’une équipe, la relation avec les fournisseurs et transporteurs ainsi que le suivi des indicateurs de performance. J’ai également participé à plusieurs projets d’amélioration des processus.</w:t>
            </w:r>
          </w:p>
        </w:tc>
      </w:tr>
      <w:tr>
        <w:tc>
          <w:tcPr>
            <w:tcW w:type="pct" w:w="32%"/>
            <w:shd w:fill="EEF2F8" w:val="clear"/>
            <w:tcMar>
              <w:top w:type="dxa" w:w="130"/>
              <w:left w:type="dxa" w:w="130"/>
              <w:bottom w:type="dxa" w:w="130"/>
              <w:right w:type="dxa" w:w="130"/>
            </w:tcMar>
          </w:tcPr>
          <w:p>
            <w:r>
              <w:rPr>
                <w:b/>
                <w:bCs/>
                <w:color w:val="243B67"/>
              </w:rPr>
              <w:t xml:space="preserve">Réalisations majeures</w:t>
            </w:r>
          </w:p>
        </w:tc>
        <w:tc>
          <w:tcPr>
            <w:tcW w:type="pct" w:w="68%"/>
            <w:tcMar>
              <w:top w:type="dxa" w:w="130"/>
              <w:left w:type="dxa" w:w="150"/>
              <w:bottom w:type="dxa" w:w="130"/>
              <w:right w:type="dxa" w:w="150"/>
            </w:tcMar>
          </w:tcPr>
          <w:p>
            <w:pPr>
              <w:spacing w:line="280"/>
            </w:pPr>
            <w:r>
              <w:rPr>
                <w:sz w:val="21"/>
                <w:szCs w:val="21"/>
              </w:rPr>
              <w:t xml:space="preserve">Expertises :
Gestion des flux, stocks et approvisionnements, organisation logistique, pilotage d’indicateurs, coordination opérationnelle, management d’équipe, amélioration des processus et suivi de prestataires.</w:t>
            </w:r>
          </w:p>
        </w:tc>
      </w:tr>
      <w:tr>
        <w:tc>
          <w:tcPr>
            <w:tcW w:type="pct" w:w="32%"/>
            <w:shd w:fill="EEF2F8" w:val="clear"/>
            <w:tcMar>
              <w:top w:type="dxa" w:w="130"/>
              <w:left w:type="dxa" w:w="130"/>
              <w:bottom w:type="dxa" w:w="130"/>
              <w:right w:type="dxa" w:w="130"/>
            </w:tcMar>
          </w:tcPr>
          <w:p>
            <w:r>
              <w:rPr>
                <w:b/>
                <w:bCs/>
                <w:color w:val="243B67"/>
              </w:rPr>
              <w:t xml:space="preserve">Transitions importantes</w:t>
            </w:r>
          </w:p>
        </w:tc>
        <w:tc>
          <w:tcPr>
            <w:tcW w:type="pct" w:w="68%"/>
            <w:tcMar>
              <w:top w:type="dxa" w:w="130"/>
              <w:left w:type="dxa" w:w="150"/>
              <w:bottom w:type="dxa" w:w="130"/>
              <w:right w:type="dxa" w:w="150"/>
            </w:tcMar>
          </w:tcPr>
          <w:p>
            <w:pPr>
              <w:spacing w:line="280"/>
            </w:pPr>
            <w:r>
              <w:rPr>
                <w:sz w:val="21"/>
                <w:szCs w:val="21"/>
              </w:rPr>
              <w:t xml:space="preserve">Le passage d’une fonction opérationnelle à un rôle de coordination a constitué une première étape déterminante. L’accès au management m’a ensuite conduit à développer une vision plus globale de l’activité et à m’intéresser davantage au pilotage de la performance, à l’amélioration continue et à la conduite du changement.v</w:t>
            </w:r>
          </w:p>
        </w:tc>
      </w:tr>
    </w:tbl>
    <w:p>
      <w:pPr>
        <w:spacing w:after="130"/>
      </w:pPr>
    </w:p>
    <w:p>
      <w:pPr>
        <w:pStyle w:val="Heading1"/>
        <w:spacing w:before="260" w:after="150"/>
      </w:pPr>
      <w:r>
        <w:rPr>
          <w:b/>
          <w:bCs/>
          <w:color w:val="7258C7"/>
        </w:rPr>
        <w:t xml:space="preserve">Capital professionnel</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Expertises</w:t>
            </w:r>
          </w:p>
        </w:tc>
        <w:tc>
          <w:tcPr>
            <w:tcW w:type="pct" w:w="68%"/>
            <w:tcMar>
              <w:top w:type="dxa" w:w="130"/>
              <w:left w:type="dxa" w:w="150"/>
              <w:bottom w:type="dxa" w:w="130"/>
              <w:right w:type="dxa" w:w="150"/>
            </w:tcMar>
          </w:tcPr>
          <w:p>
            <w:pPr>
              <w:spacing w:line="280"/>
            </w:pPr>
            <w:r>
              <w:rPr>
                <w:sz w:val="21"/>
                <w:szCs w:val="21"/>
              </w:rPr>
              <w:t xml:space="preserve">Expertises :
Gestion des flux, stocks et approvisionnements, organisation logistique, pilotage d’indicateurs, coordination opérationnelle, management d’équipe, amélioration des processus et suivi de prestataires.
Compétences transférables :
Management, planification, résolution de problèmes, analyse de données, gestion des priorités, coordination interservices, prise de décision, communication et conduite de projets transversaux.
Réseau / ressources :
Équipes internes, fournisseurs, transporteurs, responsables achats, partenaires logistiques, anciens collaborateurs et professionnels rencontrés au cours de différents projets.
Principaux points d’appui :
Mon expérience de terrain constitue un premier socle. Elle est complétée par une bonne compréhension des flux, une capacité à analyser rapidement les dysfonctionnements et une expérience du management. Je dispose également d’une vision transversale qui me permet de relier les contraintes opérationnelles aux enjeux de performance.</w:t>
            </w:r>
          </w:p>
        </w:tc>
      </w:tr>
      <w:tr>
        <w:tc>
          <w:tcPr>
            <w:tcW w:type="pct" w:w="32%"/>
            <w:shd w:fill="EEF2F8" w:val="clear"/>
            <w:tcMar>
              <w:top w:type="dxa" w:w="130"/>
              <w:left w:type="dxa" w:w="130"/>
              <w:bottom w:type="dxa" w:w="130"/>
              <w:right w:type="dxa" w:w="130"/>
            </w:tcMar>
          </w:tcPr>
          <w:p>
            <w:r>
              <w:rPr>
                <w:b/>
                <w:bCs/>
                <w:color w:val="243B67"/>
              </w:rPr>
              <w:t xml:space="preserve">Compétences transférables</w:t>
            </w:r>
          </w:p>
        </w:tc>
        <w:tc>
          <w:tcPr>
            <w:tcW w:type="pct" w:w="68%"/>
            <w:tcMar>
              <w:top w:type="dxa" w:w="130"/>
              <w:left w:type="dxa" w:w="150"/>
              <w:bottom w:type="dxa" w:w="130"/>
              <w:right w:type="dxa" w:w="150"/>
            </w:tcMar>
          </w:tcPr>
          <w:p>
            <w:pPr>
              <w:spacing w:line="280"/>
            </w:pPr>
            <w:r>
              <w:rPr>
                <w:sz w:val="21"/>
                <w:szCs w:val="21"/>
              </w:rPr>
              <w:t xml:space="preserve">Compétences transférables :
Management, planification, résolution de problèmes, analyse de données, gestion des priorités, coordination interservices, prise de décision, communication et conduite de projets transversaux.</w:t>
            </w:r>
          </w:p>
        </w:tc>
      </w:tr>
      <w:tr>
        <w:tc>
          <w:tcPr>
            <w:tcW w:type="pct" w:w="32%"/>
            <w:shd w:fill="EEF2F8" w:val="clear"/>
            <w:tcMar>
              <w:top w:type="dxa" w:w="130"/>
              <w:left w:type="dxa" w:w="130"/>
              <w:bottom w:type="dxa" w:w="130"/>
              <w:right w:type="dxa" w:w="130"/>
            </w:tcMar>
          </w:tcPr>
          <w:p>
            <w:r>
              <w:rPr>
                <w:b/>
                <w:bCs/>
                <w:color w:val="243B67"/>
              </w:rPr>
              <w:t xml:space="preserve">Réseau / ressources</w:t>
            </w:r>
          </w:p>
        </w:tc>
        <w:tc>
          <w:tcPr>
            <w:tcW w:type="pct" w:w="68%"/>
            <w:tcMar>
              <w:top w:type="dxa" w:w="130"/>
              <w:left w:type="dxa" w:w="150"/>
              <w:bottom w:type="dxa" w:w="130"/>
              <w:right w:type="dxa" w:w="150"/>
            </w:tcMar>
          </w:tcPr>
          <w:p>
            <w:pPr>
              <w:spacing w:line="280"/>
            </w:pPr>
            <w:r>
              <w:rPr>
                <w:sz w:val="21"/>
                <w:szCs w:val="21"/>
              </w:rPr>
              <w:t xml:space="preserve">Équipes internes, fournisseurs, transporteurs, responsables achats, partenaires logistiques, anciens collaborateurs et professionnels rencontrés au cours de différents projets.</w:t>
            </w:r>
          </w:p>
        </w:tc>
      </w:tr>
      <w:tr>
        <w:tc>
          <w:tcPr>
            <w:tcW w:type="pct" w:w="32%"/>
            <w:shd w:fill="EEF2F8" w:val="clear"/>
            <w:tcMar>
              <w:top w:type="dxa" w:w="130"/>
              <w:left w:type="dxa" w:w="130"/>
              <w:bottom w:type="dxa" w:w="130"/>
              <w:right w:type="dxa" w:w="130"/>
            </w:tcMar>
          </w:tcPr>
          <w:p>
            <w:r>
              <w:rPr>
                <w:b/>
                <w:bCs/>
                <w:color w:val="243B67"/>
              </w:rPr>
              <w:t xml:space="preserve">Principaux points d'appui</w:t>
            </w:r>
          </w:p>
        </w:tc>
        <w:tc>
          <w:tcPr>
            <w:tcW w:type="pct" w:w="68%"/>
            <w:tcMar>
              <w:top w:type="dxa" w:w="130"/>
              <w:left w:type="dxa" w:w="150"/>
              <w:bottom w:type="dxa" w:w="130"/>
              <w:right w:type="dxa" w:w="150"/>
            </w:tcMar>
          </w:tcPr>
          <w:p>
            <w:pPr>
              <w:spacing w:line="280"/>
            </w:pPr>
            <w:r>
              <w:rPr>
                <w:sz w:val="21"/>
                <w:szCs w:val="21"/>
              </w:rPr>
              <w:t xml:space="preserve">Mon expérience de terrain constitue un premier socle. Elle est complétée par une bonne compréhension des flux, une capacité à analyser rapidement les dysfonctionnements et une expérience du management. Je dispose également d’une vision transversale qui me permet de relier les contraintes opérationnelles aux enjeux de performance.</w:t>
            </w:r>
          </w:p>
        </w:tc>
      </w:tr>
    </w:tbl>
    <w:p>
      <w:pPr>
        <w:spacing w:after="130"/>
      </w:pPr>
    </w:p>
    <w:p>
      <w:pPr>
        <w:pStyle w:val="Heading1"/>
        <w:spacing w:before="260" w:after="150"/>
      </w:pPr>
      <w:r>
        <w:rPr>
          <w:b/>
          <w:bCs/>
          <w:color w:val="7258C7"/>
        </w:rPr>
        <w:t xml:space="preserve">Lecture du parcours</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Ce que je veux continuer</w:t>
            </w:r>
          </w:p>
        </w:tc>
        <w:tc>
          <w:tcPr>
            <w:tcW w:type="pct" w:w="68%"/>
            <w:tcMar>
              <w:top w:type="dxa" w:w="130"/>
              <w:left w:type="dxa" w:w="150"/>
              <w:bottom w:type="dxa" w:w="130"/>
              <w:right w:type="dxa" w:w="150"/>
            </w:tcMar>
          </w:tcPr>
          <w:p>
            <w:pPr>
              <w:spacing w:line="280"/>
            </w:pPr>
            <w:r>
              <w:rPr>
                <w:sz w:val="21"/>
                <w:szCs w:val="21"/>
              </w:rPr>
              <w:t xml:space="preserve">Je souhaite conserver la dimension de pilotage, la résolution de problématiques concrètes, le travail transversal et la possibilité d’améliorer durablement les processus.</w:t>
            </w:r>
          </w:p>
        </w:tc>
      </w:tr>
      <w:tr>
        <w:tc>
          <w:tcPr>
            <w:tcW w:type="pct" w:w="32%"/>
            <w:shd w:fill="EEF2F8" w:val="clear"/>
            <w:tcMar>
              <w:top w:type="dxa" w:w="130"/>
              <w:left w:type="dxa" w:w="130"/>
              <w:bottom w:type="dxa" w:w="130"/>
              <w:right w:type="dxa" w:w="130"/>
            </w:tcMar>
          </w:tcPr>
          <w:p>
            <w:r>
              <w:rPr>
                <w:b/>
                <w:bCs/>
                <w:color w:val="243B67"/>
              </w:rPr>
              <w:t xml:space="preserve">Ce que je veux développer</w:t>
            </w:r>
          </w:p>
        </w:tc>
        <w:tc>
          <w:tcPr>
            <w:tcW w:type="pct" w:w="68%"/>
            <w:tcMar>
              <w:top w:type="dxa" w:w="130"/>
              <w:left w:type="dxa" w:w="150"/>
              <w:bottom w:type="dxa" w:w="130"/>
              <w:right w:type="dxa" w:w="150"/>
            </w:tcMar>
          </w:tcPr>
          <w:p>
            <w:pPr>
              <w:spacing w:line="280"/>
            </w:pPr>
            <w:r>
              <w:rPr>
                <w:sz w:val="21"/>
                <w:szCs w:val="21"/>
              </w:rPr>
              <w:t xml:space="preserve">Je souhaite renforcer le pilotage stratégique, l’analyse de la performance, la gestion de projets complexes et la conduite du changement. Le développement de compétences plus poussées en data et en outils de pilotage représente également une priorité.</w:t>
            </w:r>
          </w:p>
        </w:tc>
      </w:tr>
      <w:tr>
        <w:tc>
          <w:tcPr>
            <w:tcW w:type="pct" w:w="32%"/>
            <w:shd w:fill="EEF2F8" w:val="clear"/>
            <w:tcMar>
              <w:top w:type="dxa" w:w="130"/>
              <w:left w:type="dxa" w:w="130"/>
              <w:bottom w:type="dxa" w:w="130"/>
              <w:right w:type="dxa" w:w="130"/>
            </w:tcMar>
          </w:tcPr>
          <w:p>
            <w:r>
              <w:rPr>
                <w:b/>
                <w:bCs/>
                <w:color w:val="243B67"/>
              </w:rPr>
              <w:t xml:space="preserve">Ce que je veux réduire ou arrêter</w:t>
            </w:r>
          </w:p>
        </w:tc>
        <w:tc>
          <w:tcPr>
            <w:tcW w:type="pct" w:w="68%"/>
            <w:tcMar>
              <w:top w:type="dxa" w:w="130"/>
              <w:left w:type="dxa" w:w="150"/>
              <w:bottom w:type="dxa" w:w="130"/>
              <w:right w:type="dxa" w:w="150"/>
            </w:tcMar>
          </w:tcPr>
          <w:p>
            <w:pPr>
              <w:spacing w:line="280"/>
            </w:pPr>
            <w:r>
              <w:rPr>
                <w:sz w:val="21"/>
                <w:szCs w:val="21"/>
              </w:rPr>
              <w:t xml:space="preserve">Je souhaite progressivement réduire la part consacrée à la gestion quotidienne des urgences et aux tâches de supervision très opérationnelles afin de consacrer davantage de temps à l’analyse, à l’anticipation et aux projets d’amélioration.</w:t>
            </w:r>
          </w:p>
        </w:tc>
      </w:tr>
      <w:tr>
        <w:tc>
          <w:tcPr>
            <w:tcW w:type="pct" w:w="32%"/>
            <w:shd w:fill="EEF2F8" w:val="clear"/>
            <w:tcMar>
              <w:top w:type="dxa" w:w="130"/>
              <w:left w:type="dxa" w:w="130"/>
              <w:bottom w:type="dxa" w:w="130"/>
              <w:right w:type="dxa" w:w="130"/>
            </w:tcMar>
          </w:tcPr>
          <w:p>
            <w:r>
              <w:rPr>
                <w:b/>
                <w:bCs/>
                <w:color w:val="243B67"/>
              </w:rPr>
              <w:t xml:space="preserve">Fil rouge de mon parcours</w:t>
            </w:r>
          </w:p>
        </w:tc>
        <w:tc>
          <w:tcPr>
            <w:tcW w:type="pct" w:w="68%"/>
            <w:tcMar>
              <w:top w:type="dxa" w:w="130"/>
              <w:left w:type="dxa" w:w="150"/>
              <w:bottom w:type="dxa" w:w="130"/>
              <w:right w:type="dxa" w:w="150"/>
            </w:tcMar>
          </w:tcPr>
          <w:p>
            <w:pPr>
              <w:spacing w:line="280"/>
            </w:pPr>
            <w:r>
              <w:rPr>
                <w:sz w:val="21"/>
                <w:szCs w:val="21"/>
              </w:rPr>
              <w:t xml:space="preserve">Le fil conducteur de ma carrière réside dans ma capacité à organiser des flux, résoudre des dysfonctionnements et faire progresser la performance collective. Mon parcours traduit une évolution régulière de l’opérationnel vers le pilotage, puis du pilotage vers une approche plus stratégique des opérations.</w:t>
            </w:r>
          </w:p>
        </w:tc>
      </w:tr>
    </w:tbl>
    <w:p>
      <w:pPr>
        <w:spacing w:after="130"/>
      </w:pPr>
    </w:p>
    <w:p>
      <w:pPr>
        <w:pStyle w:val="Heading1"/>
        <w:spacing w:before="260" w:after="150"/>
      </w:pPr>
      <w:r>
        <w:rPr>
          <w:b/>
          <w:bCs/>
          <w:color w:val="7258C7"/>
        </w:rPr>
        <w:t xml:space="preserve">Prochaine étape</w:t>
      </w:r>
    </w:p>
    <w:tbl>
      <w:tblPr>
        <w:tblW w:type="pct" w:w="100%"/>
        <w:tblBorders>
          <w:top w:val="single" w:color="D8DFE9" w:sz="4"/>
          <w:left w:val="single" w:color="D8DFE9" w:sz="4"/>
          <w:bottom w:val="single" w:color="D8DFE9" w:sz="4"/>
          <w:right w:val="single" w:color="D8DFE9" w:sz="4"/>
          <w:insideH w:val="single" w:color="D8DFE9" w:sz="3"/>
          <w:insideV w:val="single" w:color="D8DFE9" w:sz="3"/>
        </w:tblBorders>
      </w:tblPr>
      <w:tblGrid>
        <w:gridCol w:w="100"/>
        <w:gridCol w:w="100"/>
      </w:tblGrid>
      <w:tr>
        <w:tc>
          <w:tcPr>
            <w:tcW w:type="pct" w:w="32%"/>
            <w:shd w:fill="EEF2F8" w:val="clear"/>
            <w:tcMar>
              <w:top w:type="dxa" w:w="130"/>
              <w:left w:type="dxa" w:w="130"/>
              <w:bottom w:type="dxa" w:w="130"/>
              <w:right w:type="dxa" w:w="130"/>
            </w:tcMar>
          </w:tcPr>
          <w:p>
            <w:r>
              <w:rPr>
                <w:b/>
                <w:bCs/>
                <w:color w:val="243B67"/>
              </w:rPr>
              <w:t xml:space="preserve">Projet / scénario envisagé</w:t>
            </w:r>
          </w:p>
        </w:tc>
        <w:tc>
          <w:tcPr>
            <w:tcW w:type="pct" w:w="68%"/>
            <w:tcMar>
              <w:top w:type="dxa" w:w="130"/>
              <w:left w:type="dxa" w:w="150"/>
              <w:bottom w:type="dxa" w:w="130"/>
              <w:right w:type="dxa" w:w="150"/>
            </w:tcMar>
          </w:tcPr>
          <w:p>
            <w:pPr>
              <w:spacing w:line="280"/>
            </w:pPr>
            <w:r>
              <w:rPr>
                <w:sz w:val="21"/>
                <w:szCs w:val="21"/>
              </w:rPr>
              <w:t xml:space="preserve">Évoluer vers une fonction de Supply Chain Manager, de responsable amélioration continue ou de responsable des opérations. Ces fonctions permettraient de capitaliser sur mon expérience tout en élargissant mon périmètre vers le pilotage global de la performance.</w:t>
            </w:r>
          </w:p>
        </w:tc>
      </w:tr>
      <w:tr>
        <w:tc>
          <w:tcPr>
            <w:tcW w:type="pct" w:w="32%"/>
            <w:shd w:fill="EEF2F8" w:val="clear"/>
            <w:tcMar>
              <w:top w:type="dxa" w:w="130"/>
              <w:left w:type="dxa" w:w="130"/>
              <w:bottom w:type="dxa" w:w="130"/>
              <w:right w:type="dxa" w:w="130"/>
            </w:tcMar>
          </w:tcPr>
          <w:p>
            <w:r>
              <w:rPr>
                <w:b/>
                <w:bCs/>
                <w:color w:val="243B67"/>
              </w:rPr>
              <w:t xml:space="preserve">Compétences à acquérir</w:t>
            </w:r>
          </w:p>
        </w:tc>
        <w:tc>
          <w:tcPr>
            <w:tcW w:type="pct" w:w="68%"/>
            <w:tcMar>
              <w:top w:type="dxa" w:w="130"/>
              <w:left w:type="dxa" w:w="150"/>
              <w:bottom w:type="dxa" w:w="130"/>
              <w:right w:type="dxa" w:w="150"/>
            </w:tcMar>
          </w:tcPr>
          <w:p>
            <w:pPr>
              <w:spacing w:line="280"/>
            </w:pPr>
            <w:r>
              <w:rPr>
                <w:sz w:val="21"/>
                <w:szCs w:val="21"/>
              </w:rPr>
              <w:t xml:space="preserve">Pilotage stratégique de la supply chain, analyse avancée des KPI, gestion budgétaire, conduite du changement, outils de Business Intelligence et management de projets complexes.</w:t>
            </w:r>
          </w:p>
        </w:tc>
      </w:tr>
      <w:tr>
        <w:tc>
          <w:tcPr>
            <w:tcW w:type="pct" w:w="32%"/>
            <w:shd w:fill="EEF2F8" w:val="clear"/>
            <w:tcMar>
              <w:top w:type="dxa" w:w="130"/>
              <w:left w:type="dxa" w:w="130"/>
              <w:bottom w:type="dxa" w:w="130"/>
              <w:right w:type="dxa" w:w="130"/>
            </w:tcMar>
          </w:tcPr>
          <w:p>
            <w:r>
              <w:rPr>
                <w:b/>
                <w:bCs/>
                <w:color w:val="243B67"/>
              </w:rPr>
              <w:t xml:space="preserve">Décisions à prendre</w:t>
            </w:r>
          </w:p>
        </w:tc>
        <w:tc>
          <w:tcPr>
            <w:tcW w:type="pct" w:w="68%"/>
            <w:tcMar>
              <w:top w:type="dxa" w:w="130"/>
              <w:left w:type="dxa" w:w="150"/>
              <w:bottom w:type="dxa" w:w="130"/>
              <w:right w:type="dxa" w:w="150"/>
            </w:tcMar>
          </w:tcPr>
          <w:p>
            <w:pPr>
              <w:spacing w:line="280"/>
            </w:pPr>
            <w:r>
              <w:rPr>
                <w:sz w:val="21"/>
                <w:szCs w:val="21"/>
              </w:rPr>
              <w:t xml:space="preserve">Je dois déterminer si ma prochaine étape doit privilégier une spécialisation en supply chain ou une orientation plus transversale vers le management des opérations. Cette décision nécessite de comparer les responsabilités, les compétences attendues et les perspectives associées aux deux trajectoires.</w:t>
            </w:r>
          </w:p>
        </w:tc>
      </w:tr>
      <w:tr>
        <w:tc>
          <w:tcPr>
            <w:tcW w:type="pct" w:w="32%"/>
            <w:shd w:fill="EEF2F8" w:val="clear"/>
            <w:tcMar>
              <w:top w:type="dxa" w:w="130"/>
              <w:left w:type="dxa" w:w="130"/>
              <w:bottom w:type="dxa" w:w="130"/>
              <w:right w:type="dxa" w:w="130"/>
            </w:tcMar>
          </w:tcPr>
          <w:p>
            <w:r>
              <w:rPr>
                <w:b/>
                <w:bCs/>
                <w:color w:val="243B67"/>
              </w:rPr>
              <w:t xml:space="preserve">Premières actions</w:t>
            </w:r>
          </w:p>
        </w:tc>
        <w:tc>
          <w:tcPr>
            <w:tcW w:type="pct" w:w="68%"/>
            <w:tcMar>
              <w:top w:type="dxa" w:w="130"/>
              <w:left w:type="dxa" w:w="150"/>
              <w:bottom w:type="dxa" w:w="130"/>
              <w:right w:type="dxa" w:w="150"/>
            </w:tcMar>
          </w:tcPr>
          <w:p>
            <w:pPr>
              <w:spacing w:line="280"/>
            </w:pPr>
            <w:r>
              <w:rPr>
                <w:sz w:val="21"/>
                <w:szCs w:val="21"/>
              </w:rPr>
              <w:t xml:space="preserve">Réaliser plusieurs entretiens exploratoires avec des Supply Chain Managers et responsables des opérations, analyser les offres correspondant aux fonctions ciblées, effectuer une analyse des écarts de compétences, sélectionner une formation adaptée et rechercher un projet interne permettant d’élargir mon périmètre de pilotage.</w:t>
            </w:r>
          </w:p>
        </w:tc>
      </w:tr>
    </w:tbl>
    <w:p>
      <w:pPr>
        <w:spacing w:after="130"/>
      </w:pPr>
    </w:p>
    <w:p>
      <w:pPr>
        <w:spacing w:before="300" w:after="80"/>
      </w:pPr>
      <w:r>
        <w:rPr>
          <w:b/>
          <w:bCs/>
          <w:color w:val="20A486"/>
          <w:sz w:val="26"/>
          <w:szCs w:val="26"/>
        </w:rPr>
        <w:t xml:space="preserve">Synthèse – Mon prochain pas</w:t>
      </w:r>
    </w:p>
    <w:p>
      <w:r>
        <w:rPr>
          <w:b/>
          <w:bCs/>
        </w:rPr>
        <w:t xml:space="preserve">À l'issue de ce bilan, quelle action concrète souhaitez-vous engager en priorité ?</w:t>
      </w:r>
    </w:p>
    <w:p>
      <w:r>
        <w:t xml:space="preserve">.............................................................................................................................</w:t>
      </w:r>
    </w:p>
    <w:p>
      <w:r>
        <w:t xml:space="preserve">.............................................................................................................................</w:t>
      </w:r>
    </w:p>
    <w:sectPr>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Bilan de carrière</dc:title>
  <dc:creator>Générateur de bilan personnel et professionnel</dc:creator>
  <dc:description>Modèle de bilan personnel et professionnel généré localement.</dc:description>
  <cp:lastModifiedBy>Un-named</cp:lastModifiedBy>
  <cp:revision>1</cp:revision>
  <dcterms:created xsi:type="dcterms:W3CDTF">2026-08-09T05:22:03.367Z</dcterms:created>
  <dcterms:modified xsi:type="dcterms:W3CDTF">2026-08-09T05:22:03.367Z</dcterms:modified>
</cp:coreProperties>
</file>

<file path=docProps/custom.xml><?xml version="1.0" encoding="utf-8"?>
<Properties xmlns="http://schemas.openxmlformats.org/officeDocument/2006/custom-properties" xmlns:vt="http://schemas.openxmlformats.org/officeDocument/2006/docPropsVTypes"/>
</file>