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jc w:val="center"/>
      </w:pPr>
      <w:r>
        <w:rPr>
          <w:b/>
          <w:bCs/>
          <w:color w:val="243B67"/>
          <w:sz w:val="34"/>
          <w:szCs w:val="34"/>
        </w:rPr>
        <w:t xml:space="preserve">Bilan avant reconversion professionnelle</w:t>
      </w:r>
    </w:p>
    <w:p>
      <w:pPr>
        <w:spacing w:after="350"/>
        <w:jc w:val="center"/>
      </w:pPr>
      <w:r>
        <w:rPr>
          <w:i/>
          <w:iCs/>
          <w:color w:val="6C7786"/>
          <w:sz w:val="20"/>
          <w:szCs w:val="20"/>
        </w:rPr>
        <w:t xml:space="preserve">Document de travail – bilan et projection professionnelle</w:t>
      </w:r>
    </w:p>
    <w:p>
      <w:pPr>
        <w:pStyle w:val="Heading1"/>
        <w:spacing w:before="260" w:after="150"/>
      </w:pPr>
      <w:r>
        <w:rPr>
          <w:b/>
          <w:bCs/>
          <w:color w:val="7258C7"/>
        </w:rPr>
        <w:t xml:space="preserve">Situation de départ</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Nom</w:t>
            </w:r>
          </w:p>
        </w:tc>
        <w:tc>
          <w:tcPr>
            <w:tcW w:type="pct" w:w="68%"/>
            <w:tcMar>
              <w:top w:type="dxa" w:w="130"/>
              <w:left w:type="dxa" w:w="150"/>
              <w:bottom w:type="dxa" w:w="130"/>
              <w:right w:type="dxa" w:w="150"/>
            </w:tcMar>
          </w:tcPr>
          <w:p>
            <w:pPr>
              <w:spacing w:line="280"/>
            </w:pPr>
            <w:r>
              <w:rPr>
                <w:sz w:val="21"/>
                <w:szCs w:val="21"/>
              </w:rPr>
              <w:t xml:space="preserve">Maëlle Dervaux</w:t>
            </w:r>
          </w:p>
        </w:tc>
      </w:tr>
      <w:tr>
        <w:tc>
          <w:tcPr>
            <w:tcW w:type="pct" w:w="32%"/>
            <w:shd w:fill="EEF2F8" w:val="clear"/>
            <w:tcMar>
              <w:top w:type="dxa" w:w="130"/>
              <w:left w:type="dxa" w:w="130"/>
              <w:bottom w:type="dxa" w:w="130"/>
              <w:right w:type="dxa" w:w="130"/>
            </w:tcMar>
          </w:tcPr>
          <w:p>
            <w:r>
              <w:rPr>
                <w:b/>
                <w:bCs/>
                <w:color w:val="243B67"/>
              </w:rPr>
              <w:t xml:space="preserve">Métier actuel</w:t>
            </w:r>
          </w:p>
        </w:tc>
        <w:tc>
          <w:tcPr>
            <w:tcW w:type="pct" w:w="68%"/>
            <w:tcMar>
              <w:top w:type="dxa" w:w="130"/>
              <w:left w:type="dxa" w:w="150"/>
              <w:bottom w:type="dxa" w:w="130"/>
              <w:right w:type="dxa" w:w="150"/>
            </w:tcMar>
          </w:tcPr>
          <w:p>
            <w:pPr>
              <w:spacing w:line="280"/>
            </w:pPr>
            <w:r>
              <w:rPr>
                <w:sz w:val="21"/>
                <w:szCs w:val="21"/>
              </w:rPr>
              <w:t xml:space="preserve">Responsable commerciale</w:t>
            </w:r>
          </w:p>
        </w:tc>
      </w:tr>
      <w:tr>
        <w:tc>
          <w:tcPr>
            <w:tcW w:type="pct" w:w="32%"/>
            <w:shd w:fill="EEF2F8" w:val="clear"/>
            <w:tcMar>
              <w:top w:type="dxa" w:w="130"/>
              <w:left w:type="dxa" w:w="130"/>
              <w:bottom w:type="dxa" w:w="130"/>
              <w:right w:type="dxa" w:w="130"/>
            </w:tcMar>
          </w:tcPr>
          <w:p>
            <w:r>
              <w:rPr>
                <w:b/>
                <w:bCs/>
                <w:color w:val="243B67"/>
              </w:rPr>
              <w:t xml:space="preserve">Secteur actuel</w:t>
            </w:r>
          </w:p>
        </w:tc>
        <w:tc>
          <w:tcPr>
            <w:tcW w:type="pct" w:w="68%"/>
            <w:tcMar>
              <w:top w:type="dxa" w:w="130"/>
              <w:left w:type="dxa" w:w="150"/>
              <w:bottom w:type="dxa" w:w="130"/>
              <w:right w:type="dxa" w:w="150"/>
            </w:tcMar>
          </w:tcPr>
          <w:p>
            <w:pPr>
              <w:spacing w:line="280"/>
            </w:pPr>
            <w:r>
              <w:rPr>
                <w:sz w:val="21"/>
                <w:szCs w:val="21"/>
              </w:rPr>
              <w:t xml:space="preserve">Services B2B</w:t>
            </w:r>
          </w:p>
        </w:tc>
      </w:tr>
      <w:tr>
        <w:tc>
          <w:tcPr>
            <w:tcW w:type="pct" w:w="32%"/>
            <w:shd w:fill="EEF2F8" w:val="clear"/>
            <w:tcMar>
              <w:top w:type="dxa" w:w="130"/>
              <w:left w:type="dxa" w:w="130"/>
              <w:bottom w:type="dxa" w:w="130"/>
              <w:right w:type="dxa" w:w="130"/>
            </w:tcMar>
          </w:tcPr>
          <w:p>
            <w:r>
              <w:rPr>
                <w:b/>
                <w:bCs/>
                <w:color w:val="243B67"/>
              </w:rPr>
              <w:t xml:space="preserve">Raisons de la réflexion</w:t>
            </w:r>
          </w:p>
        </w:tc>
        <w:tc>
          <w:tcPr>
            <w:tcW w:type="pct" w:w="68%"/>
            <w:tcMar>
              <w:top w:type="dxa" w:w="130"/>
              <w:left w:type="dxa" w:w="150"/>
              <w:bottom w:type="dxa" w:w="130"/>
              <w:right w:type="dxa" w:w="150"/>
            </w:tcMar>
          </w:tcPr>
          <w:p>
            <w:pPr>
              <w:spacing w:line="280"/>
            </w:pPr>
            <w:r>
              <w:rPr>
                <w:sz w:val="21"/>
                <w:szCs w:val="21"/>
              </w:rPr>
              <w:t xml:space="preserve">Après plusieurs années dans des fonctions commerciales, je souhaite réorienter mon parcours vers un métier davantage centré sur l’accompagnement, l’évaluation des compétences et le développement des personnes. Mon expérience m’a permis d’apprécier particulièrement les dimensions humaines de mon métier : intégration de nouveaux collaborateurs, accompagnement de commerciaux juniors, conduite d’entretiens, identification des besoins et transmission des bonnes pratiques. La reconversion vers les ressources humaines apparaît comme une piste cohérente avec cette évolution de mes motivations.</w:t>
            </w:r>
          </w:p>
        </w:tc>
      </w:tr>
    </w:tbl>
    <w:p>
      <w:pPr>
        <w:spacing w:after="130"/>
      </w:pPr>
    </w:p>
    <w:p>
      <w:pPr>
        <w:pStyle w:val="Heading1"/>
        <w:spacing w:before="260" w:after="150"/>
      </w:pPr>
      <w:r>
        <w:rPr>
          <w:b/>
          <w:bCs/>
          <w:color w:val="7258C7"/>
        </w:rPr>
        <w:t xml:space="preserve">Métier / projet cible</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Métier envisagé</w:t>
            </w:r>
          </w:p>
        </w:tc>
        <w:tc>
          <w:tcPr>
            <w:tcW w:type="pct" w:w="68%"/>
            <w:tcMar>
              <w:top w:type="dxa" w:w="130"/>
              <w:left w:type="dxa" w:w="150"/>
              <w:bottom w:type="dxa" w:w="130"/>
              <w:right w:type="dxa" w:w="150"/>
            </w:tcMar>
          </w:tcPr>
          <w:p>
            <w:pPr>
              <w:spacing w:line="280"/>
            </w:pPr>
            <w:r>
              <w:rPr>
                <w:sz w:val="21"/>
                <w:szCs w:val="21"/>
              </w:rPr>
              <w:t xml:space="preserve">Après plusieurs années dans des fonctions commerciales, je souhaite réorienter mon parcours vers un métier davantage centré sur l’accompagnement, l’évaluation des compétences et le développement des personnes. Mon expérience m’a permis d’apprécier particulièrement les dimensions humaines de mon métier : intégration de nouveaux collaborateurs, accompagnement de commerciaux juniors, conduite d’entretiens, identification des besoins et transmission des bonnes pratiques. La reconversion vers les ressources humaines apparaît comme une piste cohérente avec cette évolution de mes motivations.</w:t>
            </w:r>
          </w:p>
        </w:tc>
      </w:tr>
      <w:tr>
        <w:tc>
          <w:tcPr>
            <w:tcW w:type="pct" w:w="32%"/>
            <w:shd w:fill="EEF2F8" w:val="clear"/>
            <w:tcMar>
              <w:top w:type="dxa" w:w="130"/>
              <w:left w:type="dxa" w:w="130"/>
              <w:bottom w:type="dxa" w:w="130"/>
              <w:right w:type="dxa" w:w="130"/>
            </w:tcMar>
          </w:tcPr>
          <w:p>
            <w:r>
              <w:rPr>
                <w:b/>
                <w:bCs/>
                <w:color w:val="243B67"/>
              </w:rPr>
              <w:t xml:space="preserve">Secteur visé</w:t>
            </w:r>
          </w:p>
        </w:tc>
        <w:tc>
          <w:tcPr>
            <w:tcW w:type="pct" w:w="68%"/>
            <w:tcMar>
              <w:top w:type="dxa" w:w="130"/>
              <w:left w:type="dxa" w:w="150"/>
              <w:bottom w:type="dxa" w:w="130"/>
              <w:right w:type="dxa" w:w="150"/>
            </w:tcMar>
          </w:tcPr>
          <w:p>
            <w:pPr>
              <w:spacing w:line="280"/>
            </w:pPr>
            <w:r>
              <w:rPr>
                <w:sz w:val="21"/>
                <w:szCs w:val="21"/>
              </w:rPr>
              <w:t xml:space="preserve">Ressources humaines – recrutement et développement des compétences</w:t>
            </w:r>
          </w:p>
        </w:tc>
      </w:tr>
      <w:tr>
        <w:tc>
          <w:tcPr>
            <w:tcW w:type="pct" w:w="32%"/>
            <w:shd w:fill="EEF2F8" w:val="clear"/>
            <w:tcMar>
              <w:top w:type="dxa" w:w="130"/>
              <w:left w:type="dxa" w:w="130"/>
              <w:bottom w:type="dxa" w:w="130"/>
              <w:right w:type="dxa" w:w="130"/>
            </w:tcMar>
          </w:tcPr>
          <w:p>
            <w:r>
              <w:rPr>
                <w:b/>
                <w:bCs/>
                <w:color w:val="243B67"/>
              </w:rPr>
              <w:t xml:space="preserve">Pourquoi cette piste ?</w:t>
            </w:r>
          </w:p>
        </w:tc>
        <w:tc>
          <w:tcPr>
            <w:tcW w:type="pct" w:w="68%"/>
            <w:tcMar>
              <w:top w:type="dxa" w:w="130"/>
              <w:left w:type="dxa" w:w="150"/>
              <w:bottom w:type="dxa" w:w="130"/>
              <w:right w:type="dxa" w:w="150"/>
            </w:tcMar>
          </w:tcPr>
          <w:p>
            <w:pPr>
              <w:spacing w:line="280"/>
            </w:pPr>
            <w:r>
              <w:rPr>
                <w:sz w:val="21"/>
                <w:szCs w:val="21"/>
              </w:rPr>
              <w:t xml:space="preserve">Les missions liées au recrutement, à l’accompagnement des collaborateurs et au développement des compétences correspondent davantage aux activités que je souhaite exercer à moyen terme. Mon parcours commercial m’a également permis de développer plusieurs compétences directement mobilisables dans ces fonctions : conduite d’entretien, écoute active, analyse des besoins, évaluation d’un profil, communication et négociation.</w:t>
            </w:r>
          </w:p>
        </w:tc>
      </w:tr>
    </w:tbl>
    <w:p>
      <w:pPr>
        <w:spacing w:after="130"/>
      </w:pPr>
    </w:p>
    <w:p>
      <w:pPr>
        <w:pStyle w:val="Heading1"/>
        <w:spacing w:before="260" w:after="150"/>
      </w:pPr>
      <w:r>
        <w:rPr>
          <w:b/>
          <w:bCs/>
          <w:color w:val="7258C7"/>
        </w:rPr>
        <w:t xml:space="preserve">Passerelles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Compétences transférables</w:t>
            </w:r>
          </w:p>
        </w:tc>
        <w:tc>
          <w:tcPr>
            <w:tcW w:type="pct" w:w="68%"/>
            <w:tcMar>
              <w:top w:type="dxa" w:w="130"/>
              <w:left w:type="dxa" w:w="150"/>
              <w:bottom w:type="dxa" w:w="130"/>
              <w:right w:type="dxa" w:w="150"/>
            </w:tcMar>
          </w:tcPr>
          <w:p>
            <w:pPr>
              <w:spacing w:line="280"/>
            </w:pPr>
            <w:r>
              <w:rPr>
                <w:sz w:val="21"/>
                <w:szCs w:val="21"/>
              </w:rPr>
              <w:t xml:space="preserve">Conduite d’entretiens, écoute active, identification des besoins, communication interpersonnelle, négociation, évaluation de profils, gestion des priorités, reporting, accompagnement de collaborateurs et suivi d’objectifs.</w:t>
            </w:r>
          </w:p>
        </w:tc>
      </w:tr>
      <w:tr>
        <w:tc>
          <w:tcPr>
            <w:tcW w:type="pct" w:w="32%"/>
            <w:shd w:fill="EEF2F8" w:val="clear"/>
            <w:tcMar>
              <w:top w:type="dxa" w:w="130"/>
              <w:left w:type="dxa" w:w="130"/>
              <w:bottom w:type="dxa" w:w="130"/>
              <w:right w:type="dxa" w:w="130"/>
            </w:tcMar>
          </w:tcPr>
          <w:p>
            <w:r>
              <w:rPr>
                <w:b/>
                <w:bCs/>
                <w:color w:val="243B67"/>
              </w:rPr>
              <w:t xml:space="preserve">Expériences utiles au nouveau projet</w:t>
            </w:r>
          </w:p>
        </w:tc>
        <w:tc>
          <w:tcPr>
            <w:tcW w:type="pct" w:w="68%"/>
            <w:tcMar>
              <w:top w:type="dxa" w:w="130"/>
              <w:left w:type="dxa" w:w="150"/>
              <w:bottom w:type="dxa" w:w="130"/>
              <w:right w:type="dxa" w:w="150"/>
            </w:tcMar>
          </w:tcPr>
          <w:p>
            <w:pPr>
              <w:spacing w:line="280"/>
            </w:pPr>
            <w:r>
              <w:rPr>
                <w:sz w:val="21"/>
                <w:szCs w:val="21"/>
              </w:rPr>
              <w:t xml:space="preserve">J’ai participé au recrutement et à l’intégration de plusieurs collaborateurs commerciaux. J’ai également accompagné des profils juniors lors de leur prise de poste, participé à l’évaluation de leurs résultats et contribué à identifier leurs besoins de progression.</w:t>
            </w:r>
          </w:p>
        </w:tc>
      </w:tr>
      <w:tr>
        <w:tc>
          <w:tcPr>
            <w:tcW w:type="pct" w:w="32%"/>
            <w:shd w:fill="EEF2F8" w:val="clear"/>
            <w:tcMar>
              <w:top w:type="dxa" w:w="130"/>
              <w:left w:type="dxa" w:w="130"/>
              <w:bottom w:type="dxa" w:w="130"/>
              <w:right w:type="dxa" w:w="130"/>
            </w:tcMar>
          </w:tcPr>
          <w:p>
            <w:r>
              <w:rPr>
                <w:b/>
                <w:bCs/>
                <w:color w:val="243B67"/>
              </w:rPr>
              <w:t xml:space="preserve">Forces personnelles mobilisables</w:t>
            </w:r>
          </w:p>
        </w:tc>
        <w:tc>
          <w:tcPr>
            <w:tcW w:type="pct" w:w="68%"/>
            <w:tcMar>
              <w:top w:type="dxa" w:w="130"/>
              <w:left w:type="dxa" w:w="150"/>
              <w:bottom w:type="dxa" w:w="130"/>
              <w:right w:type="dxa" w:w="150"/>
            </w:tcMar>
          </w:tcPr>
          <w:p>
            <w:pPr>
              <w:spacing w:line="280"/>
            </w:pPr>
            <w:r>
              <w:rPr>
                <w:sz w:val="21"/>
                <w:szCs w:val="21"/>
              </w:rPr>
              <w:t xml:space="preserve">Aisance relationnelle, capacité d’écoute, esprit d’analyse, adaptabilité, sens de la communication, capacité à créer rapidement une relation de confiance et goût pour la transmission.</w:t>
            </w:r>
          </w:p>
        </w:tc>
      </w:tr>
    </w:tbl>
    <w:p>
      <w:pPr>
        <w:spacing w:after="130"/>
      </w:pPr>
    </w:p>
    <w:p>
      <w:pPr>
        <w:pStyle w:val="Heading1"/>
        <w:spacing w:before="260" w:after="150"/>
      </w:pPr>
      <w:r>
        <w:rPr>
          <w:b/>
          <w:bCs/>
          <w:color w:val="7258C7"/>
        </w:rPr>
        <w:t xml:space="preserve">Écarts à combler</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Compétences manquantes</w:t>
            </w:r>
          </w:p>
        </w:tc>
        <w:tc>
          <w:tcPr>
            <w:tcW w:type="pct" w:w="68%"/>
            <w:tcMar>
              <w:top w:type="dxa" w:w="130"/>
              <w:left w:type="dxa" w:w="150"/>
              <w:bottom w:type="dxa" w:w="130"/>
              <w:right w:type="dxa" w:w="150"/>
            </w:tcMar>
          </w:tcPr>
          <w:p>
            <w:pPr>
              <w:spacing w:line="280"/>
            </w:pPr>
            <w:r>
              <w:rPr>
                <w:sz w:val="21"/>
                <w:szCs w:val="21"/>
              </w:rPr>
              <w:t xml:space="preserve">Droit social, administration RH, techniques spécifiques de recrutement, outils ATS, gestion des compétences, indicateurs RH et connaissance plus approfondie des processus de développement des talents.</w:t>
            </w:r>
          </w:p>
        </w:tc>
      </w:tr>
      <w:tr>
        <w:tc>
          <w:tcPr>
            <w:tcW w:type="pct" w:w="32%"/>
            <w:shd w:fill="EEF2F8" w:val="clear"/>
            <w:tcMar>
              <w:top w:type="dxa" w:w="130"/>
              <w:left w:type="dxa" w:w="130"/>
              <w:bottom w:type="dxa" w:w="130"/>
              <w:right w:type="dxa" w:w="130"/>
            </w:tcMar>
          </w:tcPr>
          <w:p>
            <w:r>
              <w:rPr>
                <w:b/>
                <w:bCs/>
                <w:color w:val="243B67"/>
              </w:rPr>
              <w:t xml:space="preserve">Formation / certification à envisager</w:t>
            </w:r>
          </w:p>
        </w:tc>
        <w:tc>
          <w:tcPr>
            <w:tcW w:type="pct" w:w="68%"/>
            <w:tcMar>
              <w:top w:type="dxa" w:w="130"/>
              <w:left w:type="dxa" w:w="150"/>
              <w:bottom w:type="dxa" w:w="130"/>
              <w:right w:type="dxa" w:w="150"/>
            </w:tcMar>
          </w:tcPr>
          <w:p>
            <w:pPr>
              <w:spacing w:line="280"/>
            </w:pPr>
            <w:r>
              <w:rPr>
                <w:sz w:val="21"/>
                <w:szCs w:val="21"/>
              </w:rPr>
              <w:t xml:space="preserve">Une formation en ressources humaines ou en recrutement permettrait de structurer mes connaissances, d’acquérir le vocabulaire métier et de compléter mes compétences transférables par les fondamentaux techniques de la fonction RH.</w:t>
            </w:r>
          </w:p>
        </w:tc>
      </w:tr>
      <w:tr>
        <w:tc>
          <w:tcPr>
            <w:tcW w:type="pct" w:w="32%"/>
            <w:shd w:fill="EEF2F8" w:val="clear"/>
            <w:tcMar>
              <w:top w:type="dxa" w:w="130"/>
              <w:left w:type="dxa" w:w="130"/>
              <w:bottom w:type="dxa" w:w="130"/>
              <w:right w:type="dxa" w:w="130"/>
            </w:tcMar>
          </w:tcPr>
          <w:p>
            <w:r>
              <w:rPr>
                <w:b/>
                <w:bCs/>
                <w:color w:val="243B67"/>
              </w:rPr>
              <w:t xml:space="preserve">Expériences à acquérir</w:t>
            </w:r>
          </w:p>
        </w:tc>
        <w:tc>
          <w:tcPr>
            <w:tcW w:type="pct" w:w="68%"/>
            <w:tcMar>
              <w:top w:type="dxa" w:w="130"/>
              <w:left w:type="dxa" w:w="150"/>
              <w:bottom w:type="dxa" w:w="130"/>
              <w:right w:type="dxa" w:w="150"/>
            </w:tcMar>
          </w:tcPr>
          <w:p>
            <w:pPr>
              <w:spacing w:line="280"/>
            </w:pPr>
            <w:r>
              <w:rPr>
                <w:sz w:val="21"/>
                <w:szCs w:val="21"/>
              </w:rPr>
              <w:t xml:space="preserve">Participer directement à un processus de recrutement complet, réaliser du sourcing, conduire des entretiens de sélection, utiliser un ATS, participer à l’intégration de collaborateurs et contribuer à une action de développement des compétences.</w:t>
            </w:r>
          </w:p>
        </w:tc>
      </w:tr>
    </w:tbl>
    <w:p>
      <w:pPr>
        <w:spacing w:after="130"/>
      </w:pPr>
    </w:p>
    <w:p>
      <w:pPr>
        <w:pStyle w:val="Heading1"/>
        <w:spacing w:before="260" w:after="150"/>
      </w:pPr>
      <w:r>
        <w:rPr>
          <w:b/>
          <w:bCs/>
          <w:color w:val="7258C7"/>
        </w:rPr>
        <w:t xml:space="preserve">Faisabilité</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Contraintes identifiées</w:t>
            </w:r>
          </w:p>
        </w:tc>
        <w:tc>
          <w:tcPr>
            <w:tcW w:type="pct" w:w="68%"/>
            <w:tcMar>
              <w:top w:type="dxa" w:w="130"/>
              <w:left w:type="dxa" w:w="150"/>
              <w:bottom w:type="dxa" w:w="130"/>
              <w:right w:type="dxa" w:w="150"/>
            </w:tcMar>
          </w:tcPr>
          <w:p>
            <w:pPr>
              <w:spacing w:line="280"/>
            </w:pPr>
            <w:r>
              <w:rPr>
                <w:sz w:val="21"/>
                <w:szCs w:val="21"/>
              </w:rPr>
              <w:t xml:space="preserve">Le principal enjeu consiste à rendre crédible le passage d’une fonction commerciale expérimentée vers une fonction RH dans laquelle mon expérience directe reste plus limitée. Une période de transition peut également être nécessaire pour acquérir les fondamentaux techniques du métier.</w:t>
            </w:r>
          </w:p>
        </w:tc>
      </w:tr>
      <w:tr>
        <w:tc>
          <w:tcPr>
            <w:tcW w:type="pct" w:w="32%"/>
            <w:shd w:fill="EEF2F8" w:val="clear"/>
            <w:tcMar>
              <w:top w:type="dxa" w:w="130"/>
              <w:left w:type="dxa" w:w="130"/>
              <w:bottom w:type="dxa" w:w="130"/>
              <w:right w:type="dxa" w:w="130"/>
            </w:tcMar>
          </w:tcPr>
          <w:p>
            <w:r>
              <w:rPr>
                <w:b/>
                <w:bCs/>
                <w:color w:val="243B67"/>
              </w:rPr>
              <w:t xml:space="preserve">Ressources disponibles</w:t>
            </w:r>
          </w:p>
        </w:tc>
        <w:tc>
          <w:tcPr>
            <w:tcW w:type="pct" w:w="68%"/>
            <w:tcMar>
              <w:top w:type="dxa" w:w="130"/>
              <w:left w:type="dxa" w:w="150"/>
              <w:bottom w:type="dxa" w:w="130"/>
              <w:right w:type="dxa" w:w="150"/>
            </w:tcMar>
          </w:tcPr>
          <w:p>
            <w:pPr>
              <w:spacing w:line="280"/>
            </w:pPr>
            <w:r>
              <w:rPr>
                <w:sz w:val="21"/>
                <w:szCs w:val="21"/>
              </w:rPr>
              <w:t xml:space="preserve">Mon expérience du recrutement de commerciaux, mes compétences relationnelles, ma connaissance du fonctionnement de l’entreprise, mon expérience managériale, mon réseau professionnel et les possibilités de formation constituent les principales ressources mobilisables.</w:t>
            </w:r>
          </w:p>
        </w:tc>
      </w:tr>
      <w:tr>
        <w:tc>
          <w:tcPr>
            <w:tcW w:type="pct" w:w="32%"/>
            <w:shd w:fill="EEF2F8" w:val="clear"/>
            <w:tcMar>
              <w:top w:type="dxa" w:w="130"/>
              <w:left w:type="dxa" w:w="130"/>
              <w:bottom w:type="dxa" w:w="130"/>
              <w:right w:type="dxa" w:w="130"/>
            </w:tcMar>
          </w:tcPr>
          <w:p>
            <w:r>
              <w:rPr>
                <w:b/>
                <w:bCs/>
                <w:color w:val="243B67"/>
              </w:rPr>
              <w:t xml:space="preserve">Personnes / réseau à contacter</w:t>
            </w:r>
          </w:p>
        </w:tc>
        <w:tc>
          <w:tcPr>
            <w:tcW w:type="pct" w:w="68%"/>
            <w:tcMar>
              <w:top w:type="dxa" w:w="130"/>
              <w:left w:type="dxa" w:w="150"/>
              <w:bottom w:type="dxa" w:w="130"/>
              <w:right w:type="dxa" w:w="150"/>
            </w:tcMar>
          </w:tcPr>
          <w:p>
            <w:pPr>
              <w:spacing w:line="280"/>
            </w:pPr>
            <w:r>
              <w:rPr>
                <w:sz w:val="21"/>
                <w:szCs w:val="21"/>
              </w:rPr>
              <w:t xml:space="preserve">Responsables RH, recruteurs, Talent Acquisition Managers, anciens collègues travaillant dans les ressources humaines, organismes de formation et professionnels exerçant les métiers envisagés.</w:t>
            </w:r>
          </w:p>
        </w:tc>
      </w:tr>
      <w:tr>
        <w:tc>
          <w:tcPr>
            <w:tcW w:type="pct" w:w="32%"/>
            <w:shd w:fill="EEF2F8" w:val="clear"/>
            <w:tcMar>
              <w:top w:type="dxa" w:w="130"/>
              <w:left w:type="dxa" w:w="130"/>
              <w:bottom w:type="dxa" w:w="130"/>
              <w:right w:type="dxa" w:w="130"/>
            </w:tcMar>
          </w:tcPr>
          <w:p>
            <w:r>
              <w:rPr>
                <w:b/>
                <w:bCs/>
                <w:color w:val="243B67"/>
              </w:rPr>
              <w:t xml:space="preserve">Hypothèses à tester</w:t>
            </w:r>
          </w:p>
        </w:tc>
        <w:tc>
          <w:tcPr>
            <w:tcW w:type="pct" w:w="68%"/>
            <w:tcMar>
              <w:top w:type="dxa" w:w="130"/>
              <w:left w:type="dxa" w:w="150"/>
              <w:bottom w:type="dxa" w:w="130"/>
              <w:right w:type="dxa" w:w="150"/>
            </w:tcMar>
          </w:tcPr>
          <w:p>
            <w:pPr>
              <w:spacing w:line="280"/>
            </w:pPr>
            <w:r>
              <w:rPr>
                <w:sz w:val="21"/>
                <w:szCs w:val="21"/>
              </w:rPr>
              <w:t xml:space="preserve">Je souhaite vérifier si mon intérêt porte principalement sur le recrutement, plus proche de mon expérience commerciale, ou sur une fonction RH plus généraliste. Des entretiens exploratoires et une première expérience concrète permettront de départager ces deux scénarios.</w:t>
            </w:r>
          </w:p>
        </w:tc>
      </w:tr>
    </w:tbl>
    <w:p>
      <w:pPr>
        <w:spacing w:after="130"/>
      </w:pPr>
    </w:p>
    <w:p>
      <w:pPr>
        <w:pStyle w:val="Heading1"/>
        <w:spacing w:before="260" w:after="150"/>
      </w:pPr>
      <w:r>
        <w:rPr>
          <w:b/>
          <w:bCs/>
          <w:color w:val="7258C7"/>
        </w:rPr>
        <w:t xml:space="preserve">Plan de transition</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Action 1</w:t>
            </w:r>
          </w:p>
        </w:tc>
        <w:tc>
          <w:tcPr>
            <w:tcW w:type="pct" w:w="68%"/>
            <w:tcMar>
              <w:top w:type="dxa" w:w="130"/>
              <w:left w:type="dxa" w:w="150"/>
              <w:bottom w:type="dxa" w:w="130"/>
              <w:right w:type="dxa" w:w="150"/>
            </w:tcMar>
          </w:tcPr>
          <w:p>
            <w:pPr>
              <w:spacing w:line="280"/>
            </w:pPr>
            <w:r>
              <w:rPr>
                <w:sz w:val="21"/>
                <w:szCs w:val="21"/>
              </w:rPr>
              <w:t xml:space="preserve">Réaliser plusieurs entretiens exploratoires avec des recruteurs et professionnels RH afin de mieux comprendre le quotidien, les compétences attendues et les conditions d’accès aux fonctions ciblées.</w:t>
            </w:r>
          </w:p>
        </w:tc>
      </w:tr>
      <w:tr>
        <w:tc>
          <w:tcPr>
            <w:tcW w:type="pct" w:w="32%"/>
            <w:shd w:fill="EEF2F8" w:val="clear"/>
            <w:tcMar>
              <w:top w:type="dxa" w:w="130"/>
              <w:left w:type="dxa" w:w="130"/>
              <w:bottom w:type="dxa" w:w="130"/>
              <w:right w:type="dxa" w:w="130"/>
            </w:tcMar>
          </w:tcPr>
          <w:p>
            <w:r>
              <w:rPr>
                <w:b/>
                <w:bCs/>
                <w:color w:val="243B67"/>
              </w:rPr>
              <w:t xml:space="preserve">Action 2</w:t>
            </w:r>
          </w:p>
        </w:tc>
        <w:tc>
          <w:tcPr>
            <w:tcW w:type="pct" w:w="68%"/>
            <w:tcMar>
              <w:top w:type="dxa" w:w="130"/>
              <w:left w:type="dxa" w:w="150"/>
              <w:bottom w:type="dxa" w:w="130"/>
              <w:right w:type="dxa" w:w="150"/>
            </w:tcMar>
          </w:tcPr>
          <w:p>
            <w:pPr>
              <w:spacing w:line="280"/>
            </w:pPr>
            <w:r>
              <w:rPr>
                <w:sz w:val="21"/>
                <w:szCs w:val="21"/>
              </w:rPr>
              <w:t xml:space="preserve">Sélectionner une formation permettant d’acquérir les fondamentaux RH, les techniques de recrutement et les connaissances nécessaires en droit social.</w:t>
            </w:r>
          </w:p>
        </w:tc>
      </w:tr>
      <w:tr>
        <w:tc>
          <w:tcPr>
            <w:tcW w:type="pct" w:w="32%"/>
            <w:shd w:fill="EEF2F8" w:val="clear"/>
            <w:tcMar>
              <w:top w:type="dxa" w:w="130"/>
              <w:left w:type="dxa" w:w="130"/>
              <w:bottom w:type="dxa" w:w="130"/>
              <w:right w:type="dxa" w:w="130"/>
            </w:tcMar>
          </w:tcPr>
          <w:p>
            <w:r>
              <w:rPr>
                <w:b/>
                <w:bCs/>
                <w:color w:val="243B67"/>
              </w:rPr>
              <w:t xml:space="preserve">Action 3</w:t>
            </w:r>
          </w:p>
        </w:tc>
        <w:tc>
          <w:tcPr>
            <w:tcW w:type="pct" w:w="68%"/>
            <w:tcMar>
              <w:top w:type="dxa" w:w="130"/>
              <w:left w:type="dxa" w:w="150"/>
              <w:bottom w:type="dxa" w:w="130"/>
              <w:right w:type="dxa" w:w="150"/>
            </w:tcMar>
          </w:tcPr>
          <w:p>
            <w:pPr>
              <w:spacing w:line="280"/>
            </w:pPr>
            <w:r>
              <w:rPr>
                <w:sz w:val="21"/>
                <w:szCs w:val="21"/>
              </w:rPr>
              <w:t xml:space="preserve">Rechercher une possibilité de participer à un recrutement, un projet d’intégration, une mission RH transversale ou une autre situation permettant de confronter le projet à la réalité.</w:t>
            </w:r>
          </w:p>
        </w:tc>
      </w:tr>
      <w:tr>
        <w:tc>
          <w:tcPr>
            <w:tcW w:type="pct" w:w="32%"/>
            <w:shd w:fill="EEF2F8" w:val="clear"/>
            <w:tcMar>
              <w:top w:type="dxa" w:w="130"/>
              <w:left w:type="dxa" w:w="130"/>
              <w:bottom w:type="dxa" w:w="130"/>
              <w:right w:type="dxa" w:w="130"/>
            </w:tcMar>
          </w:tcPr>
          <w:p>
            <w:r>
              <w:rPr>
                <w:b/>
                <w:bCs/>
                <w:color w:val="243B67"/>
              </w:rPr>
              <w:t xml:space="preserve">Échéance cible</w:t>
            </w:r>
          </w:p>
        </w:tc>
        <w:tc>
          <w:tcPr>
            <w:tcW w:type="pct" w:w="68%"/>
            <w:tcMar>
              <w:top w:type="dxa" w:w="130"/>
              <w:left w:type="dxa" w:w="150"/>
              <w:bottom w:type="dxa" w:w="130"/>
              <w:right w:type="dxa" w:w="150"/>
            </w:tcMar>
          </w:tcPr>
          <w:p>
            <w:pPr>
              <w:spacing w:line="280"/>
            </w:pPr>
            <w:r>
              <w:rPr>
                <w:sz w:val="21"/>
                <w:szCs w:val="21"/>
              </w:rPr>
              <w:t xml:space="preserve">Préparer la transition sur 6 à 12 mois, avec un premier point d’étape après trois mois pour confirmer ou ajuster la cible professionnelle.</w:t>
            </w:r>
          </w:p>
        </w:tc>
      </w:tr>
    </w:tbl>
    <w:p>
      <w:pPr>
        <w:spacing w:after="130"/>
      </w:pPr>
    </w:p>
    <w:p>
      <w:pPr>
        <w:spacing w:before="300" w:after="80"/>
      </w:pPr>
      <w:r>
        <w:rPr>
          <w:b/>
          <w:bCs/>
          <w:color w:val="20A486"/>
          <w:sz w:val="26"/>
          <w:szCs w:val="26"/>
        </w:rPr>
        <w:t xml:space="preserve">Synthèse – Mon prochain pas</w:t>
      </w:r>
    </w:p>
    <w:p>
      <w:r>
        <w:rPr>
          <w:b/>
          <w:bCs/>
        </w:rPr>
        <w:t xml:space="preserve">À l'issue de ce bilan, quelle action concrète souhaitez-vous engager en priorité ?</w:t>
      </w:r>
    </w:p>
    <w:p>
      <w:r>
        <w:t xml:space="preserve">.............................................................................................................................</w:t>
      </w:r>
    </w:p>
    <w:p>
      <w:r>
        <w:t xml:space="preserve">.............................................................................................................................</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Bilan avant reconversion professionnelle</dc:title>
  <dc:creator>Générateur de bilan personnel et professionnel</dc:creator>
  <dc:description>Modèle de bilan personnel et professionnel généré localement.</dc:description>
  <cp:lastModifiedBy>Un-named</cp:lastModifiedBy>
  <cp:revision>1</cp:revision>
  <dcterms:created xsi:type="dcterms:W3CDTF">2026-08-09T05:31:45.443Z</dcterms:created>
  <dcterms:modified xsi:type="dcterms:W3CDTF">2026-08-09T05:31:45.443Z</dcterms:modified>
</cp:coreProperties>
</file>

<file path=docProps/custom.xml><?xml version="1.0" encoding="utf-8"?>
<Properties xmlns="http://schemas.openxmlformats.org/officeDocument/2006/custom-properties" xmlns:vt="http://schemas.openxmlformats.org/officeDocument/2006/docPropsVTypes"/>
</file>