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rFonts w:ascii="Liberation Sans" w:hAnsi="Liberation Sans"/>
          <w:b/>
          <w:i w:val="0"/>
          <w:color w:val="123247"/>
          <w:sz w:val="56"/>
        </w:rPr>
        <w:t>TERMS AND CONDITIONS</w:t>
      </w:r>
    </w:p>
    <w:p>
      <w:pPr>
        <w:spacing w:after="120"/>
        <w:jc w:val="center"/>
      </w:pPr>
      <w:r>
        <w:rPr>
          <w:rFonts w:ascii="Liberation Sans" w:hAnsi="Liberation Sans"/>
          <w:b/>
          <w:i w:val="0"/>
          <w:color w:val="0A7DA0"/>
          <w:sz w:val="28"/>
        </w:rPr>
        <w:t>Modèle Word de référence • intelligent • rempli • entièrement modifiable</w:t>
      </w:r>
    </w:p>
    <w:p>
      <w:pPr>
        <w:jc w:val="center"/>
      </w:pPr>
      <w:r>
        <w:rPr>
          <w:rFonts w:ascii="Liberation Sans" w:hAnsi="Liberation Sans"/>
          <w:b w:val="0"/>
          <w:i w:val="0"/>
          <w:color w:val="5E6E78"/>
          <w:sz w:val="20"/>
        </w:rPr>
        <w:t>Conditions contractuelles générales – site web, e-commerce, SaaS, services et B2B</w:t>
      </w:r>
    </w:p>
    <w:tbl>
      <w:tblPr>
        <w:tblW w:type="auto" w:w="0"/>
        <w:jc w:val="center"/>
        <w:tblLayout w:type="fixed"/>
        <w:tblLook w:firstColumn="1" w:firstRow="1" w:lastColumn="0" w:lastRow="0" w:noHBand="0" w:noVBand="1" w:val="04A0"/>
      </w:tblPr>
      <w:tblGrid>
        <w:gridCol w:w="2891"/>
        <w:gridCol w:w="5953"/>
      </w:tblGrid>
      <w:tr>
        <w:tc>
          <w:tcPr>
            <w:tcW w:type="dxa" w:w="5156"/>
            <w:tcMar>
              <w:top w:w="110" w:type="dxa"/>
              <w:start w:w="140" w:type="dxa"/>
              <w:bottom w:w="110" w:type="dxa"/>
              <w:end w:w="140" w:type="dxa"/>
            </w:tcMar>
            <w:shd w:fill="123247"/>
          </w:tcPr>
          <w:p>
            <w:r>
              <w:rPr>
                <w:rFonts w:ascii="Liberation Sans" w:hAnsi="Liberation Sans"/>
                <w:b/>
                <w:i w:val="0"/>
                <w:color w:val="FFFFFF"/>
                <w:sz w:val="17"/>
              </w:rPr>
              <w:t>Entreprise</w:t>
            </w:r>
          </w:p>
        </w:tc>
        <w:tc>
          <w:tcPr>
            <w:tcW w:type="dxa" w:w="5156"/>
            <w:tcMar>
              <w:top w:w="110" w:type="dxa"/>
              <w:start w:w="140" w:type="dxa"/>
              <w:bottom w:w="110" w:type="dxa"/>
              <w:end w:w="140" w:type="dxa"/>
            </w:tcMar>
            <w:shd w:fill="F7FAFB"/>
          </w:tcPr>
          <w:p>
            <w:r>
              <w:rPr>
                <w:rFonts w:ascii="Liberation Sans" w:hAnsi="Liberation Sans"/>
                <w:b/>
                <w:i w:val="0"/>
                <w:color w:val="1D2A33"/>
                <w:sz w:val="17"/>
              </w:rPr>
              <w:t>NOVA SERVICES SAS (exemple fictif)</w:t>
            </w:r>
          </w:p>
        </w:tc>
      </w:tr>
      <w:tr>
        <w:tc>
          <w:tcPr>
            <w:tcW w:type="dxa" w:w="5156"/>
            <w:tcMar>
              <w:top w:w="110" w:type="dxa"/>
              <w:start w:w="140" w:type="dxa"/>
              <w:bottom w:w="110" w:type="dxa"/>
              <w:end w:w="140" w:type="dxa"/>
            </w:tcMar>
            <w:shd w:fill="E8F1F5"/>
          </w:tcPr>
          <w:p>
            <w:r>
              <w:rPr>
                <w:rFonts w:ascii="Liberation Sans" w:hAnsi="Liberation Sans"/>
                <w:b/>
                <w:i w:val="0"/>
                <w:color w:val="123247"/>
                <w:sz w:val="17"/>
              </w:rPr>
              <w:t>Document</w:t>
            </w:r>
          </w:p>
        </w:tc>
        <w:tc>
          <w:tcPr>
            <w:tcW w:type="dxa" w:w="5156"/>
            <w:tcMar>
              <w:top w:w="110" w:type="dxa"/>
              <w:start w:w="140" w:type="dxa"/>
              <w:bottom w:w="110" w:type="dxa"/>
              <w:end w:w="140" w:type="dxa"/>
            </w:tcMar>
            <w:shd w:fill="F7FAFB"/>
          </w:tcPr>
          <w:p>
            <w:r>
              <w:rPr>
                <w:rFonts w:ascii="Liberation Sans" w:hAnsi="Liberation Sans"/>
                <w:b w:val="0"/>
                <w:i w:val="0"/>
                <w:color w:val="1D2A33"/>
                <w:sz w:val="17"/>
              </w:rPr>
              <w:t>General Terms and Conditions</w:t>
            </w:r>
          </w:p>
        </w:tc>
      </w:tr>
      <w:tr>
        <w:tc>
          <w:tcPr>
            <w:tcW w:type="dxa" w:w="5156"/>
            <w:tcMar>
              <w:top w:w="110" w:type="dxa"/>
              <w:start w:w="140" w:type="dxa"/>
              <w:bottom w:w="110" w:type="dxa"/>
              <w:end w:w="140" w:type="dxa"/>
            </w:tcMar>
            <w:shd w:fill="E8F1F5"/>
          </w:tcPr>
          <w:p>
            <w:r>
              <w:rPr>
                <w:rFonts w:ascii="Liberation Sans" w:hAnsi="Liberation Sans"/>
                <w:b/>
                <w:i w:val="0"/>
                <w:color w:val="123247"/>
                <w:sz w:val="17"/>
              </w:rPr>
              <w:t>Version</w:t>
            </w:r>
          </w:p>
        </w:tc>
        <w:tc>
          <w:tcPr>
            <w:tcW w:type="dxa" w:w="5156"/>
            <w:tcMar>
              <w:top w:w="110" w:type="dxa"/>
              <w:start w:w="140" w:type="dxa"/>
              <w:bottom w:w="110" w:type="dxa"/>
              <w:end w:w="140" w:type="dxa"/>
            </w:tcMar>
            <w:shd w:fill="F7FAFB"/>
          </w:tcPr>
          <w:p>
            <w:r>
              <w:rPr>
                <w:rFonts w:ascii="Liberation Sans" w:hAnsi="Liberation Sans"/>
                <w:b w:val="0"/>
                <w:i w:val="0"/>
                <w:color w:val="1D2A33"/>
                <w:sz w:val="17"/>
              </w:rPr>
              <w:t>1.0 – [DATE À MODIFIER]</w:t>
            </w:r>
          </w:p>
        </w:tc>
      </w:tr>
      <w:tr>
        <w:tc>
          <w:tcPr>
            <w:tcW w:type="dxa" w:w="5156"/>
            <w:tcMar>
              <w:top w:w="110" w:type="dxa"/>
              <w:start w:w="140" w:type="dxa"/>
              <w:bottom w:w="110" w:type="dxa"/>
              <w:end w:w="140" w:type="dxa"/>
            </w:tcMar>
            <w:shd w:fill="E8F1F5"/>
          </w:tcPr>
          <w:p>
            <w:r>
              <w:rPr>
                <w:rFonts w:ascii="Liberation Sans" w:hAnsi="Liberation Sans"/>
                <w:b/>
                <w:i w:val="0"/>
                <w:color w:val="123247"/>
                <w:sz w:val="17"/>
              </w:rPr>
              <w:t>Zone principale</w:t>
            </w:r>
          </w:p>
        </w:tc>
        <w:tc>
          <w:tcPr>
            <w:tcW w:type="dxa" w:w="5156"/>
            <w:tcMar>
              <w:top w:w="110" w:type="dxa"/>
              <w:start w:w="140" w:type="dxa"/>
              <w:bottom w:w="110" w:type="dxa"/>
              <w:end w:w="140" w:type="dxa"/>
            </w:tcMar>
            <w:shd w:fill="F7FAFB"/>
          </w:tcPr>
          <w:p>
            <w:r>
              <w:rPr>
                <w:rFonts w:ascii="Liberation Sans" w:hAnsi="Liberation Sans"/>
                <w:b w:val="0"/>
                <w:i w:val="0"/>
                <w:color w:val="1D2A33"/>
                <w:sz w:val="17"/>
              </w:rPr>
              <w:t>France / Union européenne [À ADAPTER]</w:t>
            </w:r>
          </w:p>
        </w:tc>
      </w:tr>
    </w:tbl>
    <w:p>
      <w:pPr>
        <w:spacing w:before="360"/>
        <w:jc w:val="center"/>
      </w:pPr>
      <w:r>
        <w:rPr>
          <w:rFonts w:ascii="Liberation Sans" w:hAnsi="Liberation Sans"/>
          <w:b/>
          <w:i w:val="0"/>
          <w:color w:val="123247"/>
          <w:sz w:val="18"/>
        </w:rPr>
        <w:t>UTILISATION RECOMMANDÉE</w:t>
      </w:r>
    </w:p>
    <w:p>
      <w:pPr>
        <w:spacing w:after="40"/>
        <w:jc w:val="center"/>
      </w:pPr>
      <w:r>
        <w:rPr>
          <w:rFonts w:ascii="Liberation Sans" w:hAnsi="Liberation Sans"/>
          <w:b w:val="0"/>
          <w:i w:val="0"/>
          <w:color w:val="405360"/>
          <w:sz w:val="16"/>
        </w:rPr>
        <w:t>• Remplacer les zones grisées par vos informations.</w:t>
      </w:r>
    </w:p>
    <w:p>
      <w:pPr>
        <w:spacing w:after="40"/>
        <w:jc w:val="center"/>
      </w:pPr>
      <w:r>
        <w:rPr>
          <w:rFonts w:ascii="Liberation Sans" w:hAnsi="Liberation Sans"/>
          <w:b w:val="0"/>
          <w:i w:val="0"/>
          <w:color w:val="405360"/>
          <w:sz w:val="16"/>
        </w:rPr>
        <w:t>• Conserver uniquement les clauses adaptées à votre activité.</w:t>
      </w:r>
    </w:p>
    <w:p>
      <w:pPr>
        <w:spacing w:after="40"/>
        <w:jc w:val="center"/>
      </w:pPr>
      <w:r>
        <w:rPr>
          <w:rFonts w:ascii="Liberation Sans" w:hAnsi="Liberation Sans"/>
          <w:b w:val="0"/>
          <w:i w:val="0"/>
          <w:color w:val="405360"/>
          <w:sz w:val="16"/>
        </w:rPr>
        <w:t>• Vérifier la cohérence avec vos prix, votre checkout, vos contrats et vos procédures réelles.</w:t>
      </w:r>
    </w:p>
    <w:p>
      <w:pPr>
        <w:spacing w:after="40"/>
        <w:jc w:val="center"/>
      </w:pPr>
      <w:r>
        <w:rPr>
          <w:rFonts w:ascii="Liberation Sans" w:hAnsi="Liberation Sans"/>
          <w:b w:val="0"/>
          <w:i w:val="0"/>
          <w:color w:val="405360"/>
          <w:sz w:val="16"/>
        </w:rPr>
        <w:t>• Faire relire les clauses sensibles lorsque les enjeux le justifient.</w:t>
      </w:r>
    </w:p>
    <w:p>
      <w:pPr>
        <w:spacing w:before="500"/>
        <w:jc w:val="center"/>
      </w:pPr>
      <w:r>
        <w:rPr>
          <w:rFonts w:ascii="Liberation Sans" w:hAnsi="Liberation Sans"/>
          <w:b w:val="0"/>
          <w:i w:val="0"/>
          <w:color w:val="0A7DA0"/>
          <w:sz w:val="16"/>
        </w:rPr>
        <w:t>Keywords associés : terms and conditions • general terms and conditions • terms and conditions template • terms and conditions for purchase order</w:t>
      </w:r>
    </w:p>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 Fiche de paramétrage intelligent</w:t>
            </w:r>
          </w:p>
          <w:p>
            <w:pPr>
              <w:spacing w:before="40" w:after="0"/>
            </w:pPr>
            <w:r>
              <w:rPr>
                <w:rFonts w:ascii="Liberation Sans" w:hAnsi="Liberation Sans"/>
                <w:b w:val="0"/>
                <w:i w:val="0"/>
                <w:color w:val="DDF5FB"/>
                <w:sz w:val="17"/>
              </w:rPr>
              <w:t>Complétez cette page avant d’adapter les clauses. Elle fonctionne comme la “fiche d’identité” du contrat.</w:t>
            </w:r>
          </w:p>
        </w:tc>
      </w:tr>
    </w:tbl>
    <w:p>
      <w:pPr>
        <w:spacing w:after="0"/>
      </w:pPr>
    </w:p>
    <w:tbl>
      <w:tblPr>
        <w:tblW w:type="auto" w:w="0"/>
        <w:jc w:val="center"/>
        <w:tblLayout w:type="fixed"/>
        <w:tblLook w:firstColumn="1" w:firstRow="1" w:lastColumn="0" w:lastRow="0" w:noHBand="0" w:noVBand="1" w:val="04A0"/>
      </w:tblPr>
      <w:tblGrid>
        <w:gridCol w:w="198"/>
        <w:gridCol w:w="9638"/>
      </w:tblGrid>
      <w:tr>
        <w:tc>
          <w:tcPr>
            <w:tcW w:type="dxa" w:w="5156"/>
            <w:shd w:fill="0A7DA0"/>
          </w:tcPr>
          <w:p>
            <w:r/>
          </w:p>
        </w:tc>
        <w:tc>
          <w:tcPr>
            <w:tcW w:type="dxa" w:w="5156"/>
            <w:shd w:fill="F1F8FB"/>
            <w:tcMar>
              <w:top w:w="110" w:type="dxa"/>
              <w:start w:w="160" w:type="dxa"/>
              <w:bottom w:w="110" w:type="dxa"/>
              <w:end w:w="160" w:type="dxa"/>
            </w:tcMar>
            <w:vAlign w:val="center"/>
          </w:tcPr>
          <w:p>
            <w:r>
              <w:rPr>
                <w:rFonts w:ascii="Liberation Sans" w:hAnsi="Liberation Sans"/>
                <w:b/>
                <w:i w:val="0"/>
                <w:color w:val="123247"/>
                <w:sz w:val="18"/>
              </w:rPr>
              <w:t>Mode d’emploi</w:t>
            </w:r>
          </w:p>
          <w:p>
            <w:pPr>
              <w:spacing w:after="0"/>
            </w:pPr>
            <w:r>
              <w:rPr>
                <w:rFonts w:ascii="Liberation Sans" w:hAnsi="Liberation Sans"/>
                <w:b w:val="0"/>
                <w:i w:val="0"/>
                <w:color w:val="1D2A33"/>
                <w:sz w:val="17"/>
              </w:rPr>
              <w:t>Les exemples sont déjà remplis avec une société fictive. Chaque zone grisée peut être remplacée directement dans Word. Les cases servent à décider quelles clauses conserver.</w:t>
            </w:r>
          </w:p>
        </w:tc>
      </w:tr>
    </w:tbl>
    <w:tbl>
      <w:tblPr>
        <w:tblW w:type="auto" w:w="0"/>
        <w:jc w:val="center"/>
        <w:tblLayout w:type="fixed"/>
        <w:tblLook w:firstColumn="1" w:firstRow="1" w:lastColumn="0" w:lastRow="0" w:noHBand="0" w:noVBand="1" w:val="04A0"/>
      </w:tblPr>
      <w:tblGrid>
        <w:gridCol w:w="2948"/>
        <w:gridCol w:w="6803"/>
      </w:tblGrid>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Nom de l’entreprise</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NOVA SERVICES SAS</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Forme / identifiant</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SAS – SIREN [À MODIFIER]</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Adresse</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12 avenue de l’Exemple, 75000 Paris [À MODIFIER]</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Email de contact</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legal@novaservices.example [À MODIFIER]</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Activité</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SaaS + prestations de conseil B2B [À MODIFIER]</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Clientèle</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 B2C   ☒ B2B   ☐ Mixte</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Zone d’activité</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 France   ☒ UE   ☐ Royaume-Uni   ☐ Canada   ☐ USA</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Facturation</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 Abonnement   ☒ Prestation ponctuelle   ☐ Vente de biens</w:t>
            </w:r>
          </w:p>
        </w:tc>
      </w:tr>
      <w:tr>
        <w:tc>
          <w:tcPr>
            <w:tcW w:type="dxa" w:w="5156"/>
            <w:tcMar>
              <w:top w:w="95" w:type="dxa"/>
              <w:start w:w="130" w:type="dxa"/>
              <w:bottom w:w="95" w:type="dxa"/>
              <w:end w:w="130" w:type="dxa"/>
            </w:tcMar>
            <w:vAlign w:val="center"/>
            <w:shd w:fill="EAF2F6"/>
          </w:tcPr>
          <w:p>
            <w:r>
              <w:rPr>
                <w:rFonts w:ascii="Liberation Sans" w:hAnsi="Liberation Sans"/>
                <w:b/>
                <w:i w:val="0"/>
                <w:color w:val="123247"/>
                <w:sz w:val="17"/>
              </w:rPr>
              <w:t>Document applicable</w:t>
            </w:r>
          </w:p>
        </w:tc>
        <w:tc>
          <w:tcPr>
            <w:tcW w:type="dxa" w:w="5156"/>
            <w:tcMar>
              <w:top w:w="95" w:type="dxa"/>
              <w:start w:w="130" w:type="dxa"/>
              <w:bottom w:w="95" w:type="dxa"/>
              <w:end w:w="130" w:type="dxa"/>
            </w:tcMar>
            <w:vAlign w:val="center"/>
            <w:shd w:fill="F8FAFB"/>
          </w:tcPr>
          <w:p>
            <w:r>
              <w:rPr>
                <w:rFonts w:ascii="Liberation Sans" w:hAnsi="Liberation Sans"/>
                <w:b w:val="0"/>
                <w:i w:val="0"/>
                <w:color w:val="1D2A33"/>
                <w:sz w:val="17"/>
              </w:rPr>
              <w:t>General Terms and Conditions / SaaS Terms [À ADAPTER]</w:t>
            </w:r>
          </w:p>
        </w:tc>
      </w:tr>
    </w:tbl>
    <w:p>
      <w:pPr>
        <w:pStyle w:val="Heading2"/>
      </w:pPr>
      <w:r>
        <w:rPr>
          <w:rFonts w:ascii="Liberation Sans" w:hAnsi="Liberation Sans"/>
          <w:b/>
          <w:i w:val="0"/>
          <w:color w:val="0A7DA0"/>
          <w:sz w:val="26"/>
        </w:rPr>
        <w:t>Sélecteur de clauses</w:t>
      </w:r>
    </w:p>
    <w:tbl>
      <w:tblPr>
        <w:tblW w:type="auto" w:w="0"/>
        <w:jc w:val="center"/>
        <w:tblLayout w:type="fixed"/>
        <w:tblLook w:firstColumn="1" w:firstRow="1" w:lastColumn="0" w:lastRow="0" w:noHBand="0" w:noVBand="1" w:val="04A0"/>
      </w:tblPr>
      <w:tblGrid>
        <w:gridCol w:w="3231"/>
        <w:gridCol w:w="3231"/>
        <w:gridCol w:w="3231"/>
      </w:tblGrid>
      <w:tr>
        <w:tc>
          <w:tcPr>
            <w:tcW w:type="dxa" w:w="3437"/>
            <w:shd w:fill="F7FAFB"/>
            <w:tcMar>
              <w:top w:w="90" w:type="dxa"/>
              <w:start w:w="100" w:type="dxa"/>
              <w:bottom w:w="90" w:type="dxa"/>
              <w:end w:w="100" w:type="dxa"/>
            </w:tcMar>
          </w:tcPr>
          <w:p>
            <w:r>
              <w:rPr>
                <w:rFonts w:ascii="Liberation Sans" w:hAnsi="Liberation Sans"/>
                <w:b w:val="0"/>
                <w:i w:val="0"/>
                <w:color w:val="1D2A33"/>
                <w:sz w:val="16"/>
              </w:rPr>
              <w:t>☒ Comptes utilisateurs</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Paiement</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Propriété intellectuelle</w:t>
            </w:r>
          </w:p>
        </w:tc>
      </w:tr>
      <w:tr>
        <w:tc>
          <w:tcPr>
            <w:tcW w:type="dxa" w:w="3437"/>
            <w:shd w:fill="F7FAFB"/>
            <w:tcMar>
              <w:top w:w="90" w:type="dxa"/>
              <w:start w:w="100" w:type="dxa"/>
              <w:bottom w:w="90" w:type="dxa"/>
              <w:end w:w="100" w:type="dxa"/>
            </w:tcMar>
          </w:tcPr>
          <w:p>
            <w:r>
              <w:rPr>
                <w:rFonts w:ascii="Liberation Sans" w:hAnsi="Liberation Sans"/>
                <w:b w:val="0"/>
                <w:i w:val="0"/>
                <w:color w:val="1D2A33"/>
                <w:sz w:val="16"/>
              </w:rPr>
              <w:t>☒ Abonnement</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Renouvellement</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Livraison physique</w:t>
            </w:r>
          </w:p>
        </w:tc>
      </w:tr>
      <w:tr>
        <w:tc>
          <w:tcPr>
            <w:tcW w:type="dxa" w:w="3437"/>
            <w:shd w:fill="F7FAFB"/>
            <w:tcMar>
              <w:top w:w="90" w:type="dxa"/>
              <w:start w:w="100" w:type="dxa"/>
              <w:bottom w:w="90" w:type="dxa"/>
              <w:end w:w="100" w:type="dxa"/>
            </w:tcMar>
          </w:tcPr>
          <w:p>
            <w:r>
              <w:rPr>
                <w:rFonts w:ascii="Liberation Sans" w:hAnsi="Liberation Sans"/>
                <w:b w:val="0"/>
                <w:i w:val="0"/>
                <w:color w:val="1D2A33"/>
                <w:sz w:val="16"/>
              </w:rPr>
              <w:t>☐ Retours produits</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Résiliation</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Confidentialité</w:t>
            </w:r>
          </w:p>
        </w:tc>
      </w:tr>
      <w:tr>
        <w:tc>
          <w:tcPr>
            <w:tcW w:type="dxa" w:w="3437"/>
            <w:shd w:fill="F7FAFB"/>
            <w:tcMar>
              <w:top w:w="90" w:type="dxa"/>
              <w:start w:w="100" w:type="dxa"/>
              <w:bottom w:w="90" w:type="dxa"/>
              <w:end w:w="100" w:type="dxa"/>
            </w:tcMar>
          </w:tcPr>
          <w:p>
            <w:r>
              <w:rPr>
                <w:rFonts w:ascii="Liberation Sans" w:hAnsi="Liberation Sans"/>
                <w:b w:val="0"/>
                <w:i w:val="0"/>
                <w:color w:val="1D2A33"/>
                <w:sz w:val="16"/>
              </w:rPr>
              <w:t>☒ Sous-traitants</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Services tiers</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User-generated content</w:t>
            </w:r>
          </w:p>
        </w:tc>
      </w:tr>
      <w:tr>
        <w:tc>
          <w:tcPr>
            <w:tcW w:type="dxa" w:w="3437"/>
            <w:shd w:fill="F7FAFB"/>
            <w:tcMar>
              <w:top w:w="90" w:type="dxa"/>
              <w:start w:w="100" w:type="dxa"/>
              <w:bottom w:w="90" w:type="dxa"/>
              <w:end w:w="100" w:type="dxa"/>
            </w:tcMar>
          </w:tcPr>
          <w:p>
            <w:r>
              <w:rPr>
                <w:rFonts w:ascii="Liberation Sans" w:hAnsi="Liberation Sans"/>
                <w:b w:val="0"/>
                <w:i w:val="0"/>
                <w:color w:val="1D2A33"/>
                <w:sz w:val="16"/>
              </w:rPr>
              <w:t>☒ Support / SLA</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Données et export</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Purchase Order</w:t>
            </w:r>
          </w:p>
        </w:tc>
      </w:tr>
      <w:tr>
        <w:tc>
          <w:tcPr>
            <w:tcW w:type="dxa" w:w="3437"/>
            <w:shd w:fill="F7FAFB"/>
            <w:tcMar>
              <w:top w:w="90" w:type="dxa"/>
              <w:start w:w="100" w:type="dxa"/>
              <w:bottom w:w="90" w:type="dxa"/>
              <w:end w:w="100" w:type="dxa"/>
            </w:tcMar>
          </w:tcPr>
          <w:p>
            <w:r>
              <w:rPr>
                <w:rFonts w:ascii="Liberation Sans" w:hAnsi="Liberation Sans"/>
                <w:b w:val="0"/>
                <w:i w:val="0"/>
                <w:color w:val="1D2A33"/>
                <w:sz w:val="16"/>
              </w:rPr>
              <w:t>☐ Marketplace</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Programme partenaire</w:t>
            </w:r>
          </w:p>
        </w:tc>
        <w:tc>
          <w:tcPr>
            <w:tcW w:type="dxa" w:w="3437"/>
            <w:shd w:fill="F7FAFB"/>
            <w:tcMar>
              <w:top w:w="90" w:type="dxa"/>
              <w:start w:w="100" w:type="dxa"/>
              <w:bottom w:w="90" w:type="dxa"/>
              <w:end w:w="100" w:type="dxa"/>
            </w:tcMar>
          </w:tcPr>
          <w:p>
            <w:r>
              <w:rPr>
                <w:rFonts w:ascii="Liberation Sans" w:hAnsi="Liberation Sans"/>
                <w:b w:val="0"/>
                <w:i w:val="0"/>
                <w:color w:val="1D2A33"/>
                <w:sz w:val="16"/>
              </w:rPr>
              <w:t>☒ B2B</w:t>
            </w:r>
          </w:p>
        </w:tc>
      </w:tr>
    </w:tbl>
    <w:tbl>
      <w:tblPr>
        <w:tblW w:type="auto" w:w="0"/>
        <w:jc w:val="center"/>
        <w:tblLayout w:type="fixed"/>
        <w:tblLook w:firstColumn="1" w:firstRow="1" w:lastColumn="0" w:lastRow="0" w:noHBand="0" w:noVBand="1" w:val="04A0"/>
      </w:tblPr>
      <w:tblGrid>
        <w:gridCol w:w="198"/>
        <w:gridCol w:w="9638"/>
      </w:tblGrid>
      <w:tr>
        <w:tc>
          <w:tcPr>
            <w:tcW w:type="dxa" w:w="5156"/>
            <w:shd w:fill="D97706"/>
          </w:tcPr>
          <w:p>
            <w:r/>
          </w:p>
        </w:tc>
        <w:tc>
          <w:tcPr>
            <w:tcW w:type="dxa" w:w="5156"/>
            <w:shd w:fill="FFF7ED"/>
            <w:tcMar>
              <w:top w:w="110" w:type="dxa"/>
              <w:start w:w="160" w:type="dxa"/>
              <w:bottom w:w="110" w:type="dxa"/>
              <w:end w:w="160" w:type="dxa"/>
            </w:tcMar>
            <w:vAlign w:val="center"/>
          </w:tcPr>
          <w:p>
            <w:r>
              <w:rPr>
                <w:rFonts w:ascii="Liberation Sans" w:hAnsi="Liberation Sans"/>
                <w:b/>
                <w:i w:val="0"/>
                <w:color w:val="123247"/>
                <w:sz w:val="18"/>
              </w:rPr>
              <w:t>Décision rapide</w:t>
            </w:r>
          </w:p>
          <w:p>
            <w:pPr>
              <w:spacing w:after="0"/>
            </w:pPr>
            <w:r>
              <w:rPr>
                <w:rFonts w:ascii="Liberation Sans" w:hAnsi="Liberation Sans"/>
                <w:b w:val="0"/>
                <w:i w:val="0"/>
                <w:color w:val="1D2A33"/>
                <w:sz w:val="17"/>
              </w:rPr>
              <w:t>Si vous cochez “B2C”, “automatic renewal”, “refund restrictions” ou “limitation of liability”, prévoyez une revue spécifique de ces clauses. Le modèle les signale comme zones de vigilance.</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2. Sommaire et carte de lecture</w:t>
            </w:r>
          </w:p>
          <w:p>
            <w:pPr>
              <w:spacing w:before="40" w:after="0"/>
            </w:pPr>
            <w:r>
              <w:rPr>
                <w:rFonts w:ascii="Liberation Sans" w:hAnsi="Liberation Sans"/>
                <w:b w:val="0"/>
                <w:i w:val="0"/>
                <w:color w:val="DDF5FB"/>
                <w:sz w:val="17"/>
              </w:rPr>
              <w:t>Un document pensé pour être parcouru, relu et modifié rapidement.</w:t>
            </w:r>
          </w:p>
        </w:tc>
      </w:tr>
    </w:tbl>
    <w:p>
      <w:pPr>
        <w:spacing w:after="0"/>
      </w:pPr>
    </w:p>
    <w:tbl>
      <w:tblPr>
        <w:tblW w:type="auto" w:w="0"/>
        <w:jc w:val="center"/>
        <w:tblLayout w:type="fixed"/>
        <w:tblLook w:firstColumn="1" w:firstRow="1" w:lastColumn="0" w:lastRow="0" w:noHBand="0" w:noVBand="1" w:val="04A0"/>
      </w:tblPr>
      <w:tblGrid>
        <w:gridCol w:w="850"/>
        <w:gridCol w:w="8901"/>
      </w:tblGrid>
      <w:tr>
        <w:tc>
          <w:tcPr>
            <w:tcW w:type="dxa" w:w="5156"/>
            <w:shd w:fill="123247"/>
            <w:tcMar>
              <w:top w:w="80" w:type="dxa"/>
              <w:start w:w="110" w:type="dxa"/>
              <w:bottom w:w="80" w:type="dxa"/>
              <w:end w:w="110" w:type="dxa"/>
            </w:tcMar>
          </w:tcPr>
          <w:p>
            <w:r>
              <w:rPr>
                <w:rFonts w:ascii="Liberation Sans" w:hAnsi="Liberation Sans"/>
                <w:b/>
                <w:i w:val="0"/>
                <w:color w:val="FFFFFF"/>
                <w:sz w:val="17"/>
              </w:rPr>
              <w:t>N°</w:t>
            </w:r>
          </w:p>
        </w:tc>
        <w:tc>
          <w:tcPr>
            <w:tcW w:type="dxa" w:w="5156"/>
            <w:shd w:fill="123247"/>
            <w:tcMar>
              <w:top w:w="80" w:type="dxa"/>
              <w:start w:w="110" w:type="dxa"/>
              <w:bottom w:w="80" w:type="dxa"/>
              <w:end w:w="110" w:type="dxa"/>
            </w:tcMar>
          </w:tcPr>
          <w:p>
            <w:r>
              <w:rPr>
                <w:rFonts w:ascii="Liberation Sans" w:hAnsi="Liberation Sans"/>
                <w:b/>
                <w:i w:val="0"/>
                <w:color w:val="FFFFFF"/>
                <w:sz w:val="17"/>
              </w:rPr>
              <w:t>Section</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Fiche de paramétrage intelligent</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2</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Sommaire et carte de lecture</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3</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Préambule et définitions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4</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Objet et champ d’application</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5</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Formation du contrat et commandes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6</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Prix, facturation et paiement</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7</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Abonnement, renouvellement et résiliation</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8</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Utilisation du service et comptes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9</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Propriété intellectuelle et contenus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10</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Confidentialité et données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11</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Disponibilité, support et maintenance</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12</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Responsabilités et garanties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13</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Réclamations, force majeure et droit applicable</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14</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Annexe A – Purchase Order Terms</w:t>
            </w:r>
          </w:p>
        </w:tc>
      </w:tr>
      <w:tr>
        <w:tc>
          <w:tcPr>
            <w:tcW w:type="dxa" w:w="850"/>
            <w:tcMar>
              <w:top w:w="70" w:type="dxa"/>
              <w:start w:w="110" w:type="dxa"/>
              <w:bottom w:w="70" w:type="dxa"/>
              <w:end w:w="110" w:type="dxa"/>
            </w:tcMar>
            <w:shd w:fill="F9FBFC"/>
          </w:tcPr>
          <w:p>
            <w:r>
              <w:rPr>
                <w:rFonts w:ascii="Liberation Sans" w:hAnsi="Liberation Sans"/>
                <w:b/>
                <w:i w:val="0"/>
                <w:color w:val="0A7DA0"/>
                <w:sz w:val="16"/>
              </w:rPr>
              <w:t>15</w:t>
            </w:r>
          </w:p>
        </w:tc>
        <w:tc>
          <w:tcPr>
            <w:tcW w:type="dxa" w:w="8901"/>
            <w:tcMar>
              <w:top w:w="70" w:type="dxa"/>
              <w:start w:w="110" w:type="dxa"/>
              <w:bottom w:w="70" w:type="dxa"/>
              <w:end w:w="110" w:type="dxa"/>
            </w:tcMar>
            <w:shd w:fill="F9FBFC"/>
          </w:tcPr>
          <w:p>
            <w:r>
              <w:rPr>
                <w:rFonts w:ascii="Liberation Sans" w:hAnsi="Liberation Sans"/>
                <w:b w:val="0"/>
                <w:i w:val="0"/>
                <w:color w:val="1D2A33"/>
                <w:sz w:val="16"/>
              </w:rPr>
              <w:t>Annexe B – Checklist de validation</w:t>
            </w:r>
          </w:p>
        </w:tc>
      </w:tr>
    </w:tbl>
    <w:p>
      <w:pPr>
        <w:pStyle w:val="Heading2"/>
      </w:pPr>
      <w:r>
        <w:rPr>
          <w:rFonts w:ascii="Liberation Sans" w:hAnsi="Liberation Sans"/>
          <w:b/>
          <w:i w:val="0"/>
          <w:color w:val="0A7DA0"/>
          <w:sz w:val="26"/>
        </w:rPr>
        <w:t>Carte de vigilance</w:t>
      </w:r>
    </w:p>
    <w:tbl>
      <w:tblPr>
        <w:tblW w:type="auto" w:w="0"/>
        <w:jc w:val="center"/>
        <w:tblLayout w:type="fixed"/>
        <w:tblLook w:firstColumn="1" w:firstRow="1" w:lastColumn="0" w:lastRow="0" w:noHBand="0" w:noVBand="1" w:val="04A0"/>
      </w:tblPr>
      <w:tblGrid>
        <w:gridCol w:w="3437"/>
        <w:gridCol w:w="3437"/>
        <w:gridCol w:w="3437"/>
      </w:tblGrid>
      <w:tr>
        <w:tc>
          <w:tcPr>
            <w:tcW w:type="dxa" w:w="3437"/>
            <w:shd w:fill="123247"/>
          </w:tcPr>
          <w:p>
            <w:r>
              <w:rPr>
                <w:rFonts w:ascii="Liberation Sans" w:hAnsi="Liberation Sans"/>
                <w:b/>
                <w:i w:val="0"/>
                <w:color w:val="FFFFFF"/>
                <w:sz w:val="16"/>
              </w:rPr>
              <w:t>Niveau</w:t>
            </w:r>
          </w:p>
        </w:tc>
        <w:tc>
          <w:tcPr>
            <w:tcW w:type="dxa" w:w="3437"/>
            <w:shd w:fill="123247"/>
          </w:tcPr>
          <w:p>
            <w:r>
              <w:rPr>
                <w:rFonts w:ascii="Liberation Sans" w:hAnsi="Liberation Sans"/>
                <w:b/>
                <w:i w:val="0"/>
                <w:color w:val="FFFFFF"/>
                <w:sz w:val="16"/>
              </w:rPr>
              <w:t>À vérifier</w:t>
            </w:r>
          </w:p>
        </w:tc>
        <w:tc>
          <w:tcPr>
            <w:tcW w:type="dxa" w:w="3437"/>
            <w:shd w:fill="123247"/>
          </w:tcPr>
          <w:p>
            <w:r>
              <w:rPr>
                <w:rFonts w:ascii="Liberation Sans" w:hAnsi="Liberation Sans"/>
                <w:b/>
                <w:i w:val="0"/>
                <w:color w:val="FFFFFF"/>
                <w:sz w:val="16"/>
              </w:rPr>
              <w:t>Exemples</w:t>
            </w:r>
          </w:p>
        </w:tc>
      </w:tr>
      <w:tr>
        <w:tc>
          <w:tcPr>
            <w:tcW w:type="dxa" w:w="3437"/>
            <w:shd w:fill="EAF7F0"/>
            <w:tcMar>
              <w:top w:w="85" w:type="dxa"/>
              <w:start w:w="100" w:type="dxa"/>
              <w:bottom w:w="85" w:type="dxa"/>
              <w:end w:w="100" w:type="dxa"/>
            </w:tcMar>
          </w:tcPr>
          <w:p>
            <w:r>
              <w:rPr>
                <w:rFonts w:ascii="Liberation Sans" w:hAnsi="Liberation Sans"/>
                <w:b/>
                <w:i w:val="0"/>
                <w:color w:val="1D2A33"/>
                <w:sz w:val="16"/>
              </w:rPr>
              <w:t>FAIBLE</w:t>
            </w:r>
          </w:p>
        </w:tc>
        <w:tc>
          <w:tcPr>
            <w:tcW w:type="dxa" w:w="3437"/>
            <w:shd w:fill="EAF7F0"/>
            <w:tcMar>
              <w:top w:w="85" w:type="dxa"/>
              <w:start w:w="100" w:type="dxa"/>
              <w:bottom w:w="85" w:type="dxa"/>
              <w:end w:w="100" w:type="dxa"/>
            </w:tcMar>
          </w:tcPr>
          <w:p>
            <w:r>
              <w:rPr>
                <w:rFonts w:ascii="Liberation Sans" w:hAnsi="Liberation Sans"/>
                <w:b w:val="0"/>
                <w:i w:val="0"/>
                <w:color w:val="1D2A33"/>
                <w:sz w:val="16"/>
              </w:rPr>
              <w:t>Cohérence rédactionnelle</w:t>
            </w:r>
          </w:p>
        </w:tc>
        <w:tc>
          <w:tcPr>
            <w:tcW w:type="dxa" w:w="3437"/>
            <w:shd w:fill="EAF7F0"/>
            <w:tcMar>
              <w:top w:w="85" w:type="dxa"/>
              <w:start w:w="100" w:type="dxa"/>
              <w:bottom w:w="85" w:type="dxa"/>
              <w:end w:w="100" w:type="dxa"/>
            </w:tcMar>
          </w:tcPr>
          <w:p>
            <w:r>
              <w:rPr>
                <w:rFonts w:ascii="Liberation Sans" w:hAnsi="Liberation Sans"/>
                <w:b w:val="0"/>
                <w:i w:val="0"/>
                <w:color w:val="1D2A33"/>
                <w:sz w:val="16"/>
              </w:rPr>
              <w:t>Identité, coordonnées, titres</w:t>
            </w:r>
          </w:p>
        </w:tc>
      </w:tr>
      <w:tr>
        <w:tc>
          <w:tcPr>
            <w:tcW w:type="dxa" w:w="3437"/>
            <w:shd w:fill="FFF7ED"/>
            <w:tcMar>
              <w:top w:w="85" w:type="dxa"/>
              <w:start w:w="100" w:type="dxa"/>
              <w:bottom w:w="85" w:type="dxa"/>
              <w:end w:w="100" w:type="dxa"/>
            </w:tcMar>
          </w:tcPr>
          <w:p>
            <w:r>
              <w:rPr>
                <w:rFonts w:ascii="Liberation Sans" w:hAnsi="Liberation Sans"/>
                <w:b/>
                <w:i w:val="0"/>
                <w:color w:val="1D2A33"/>
                <w:sz w:val="16"/>
              </w:rPr>
              <w:t>MOYEN</w:t>
            </w:r>
          </w:p>
        </w:tc>
        <w:tc>
          <w:tcPr>
            <w:tcW w:type="dxa" w:w="3437"/>
            <w:shd w:fill="FFF7ED"/>
            <w:tcMar>
              <w:top w:w="85" w:type="dxa"/>
              <w:start w:w="100" w:type="dxa"/>
              <w:bottom w:w="85" w:type="dxa"/>
              <w:end w:w="100" w:type="dxa"/>
            </w:tcMar>
          </w:tcPr>
          <w:p>
            <w:r>
              <w:rPr>
                <w:rFonts w:ascii="Liberation Sans" w:hAnsi="Liberation Sans"/>
                <w:b w:val="0"/>
                <w:i w:val="0"/>
                <w:color w:val="1D2A33"/>
                <w:sz w:val="16"/>
              </w:rPr>
              <w:t>Conformité au parcours commercial</w:t>
            </w:r>
          </w:p>
        </w:tc>
        <w:tc>
          <w:tcPr>
            <w:tcW w:type="dxa" w:w="3437"/>
            <w:shd w:fill="FFF7ED"/>
            <w:tcMar>
              <w:top w:w="85" w:type="dxa"/>
              <w:start w:w="100" w:type="dxa"/>
              <w:bottom w:w="85" w:type="dxa"/>
              <w:end w:w="100" w:type="dxa"/>
            </w:tcMar>
          </w:tcPr>
          <w:p>
            <w:r>
              <w:rPr>
                <w:rFonts w:ascii="Liberation Sans" w:hAnsi="Liberation Sans"/>
                <w:b w:val="0"/>
                <w:i w:val="0"/>
                <w:color w:val="1D2A33"/>
                <w:sz w:val="16"/>
              </w:rPr>
              <w:t>Prix, paiement, suspension, support</w:t>
            </w:r>
          </w:p>
        </w:tc>
      </w:tr>
      <w:tr>
        <w:tc>
          <w:tcPr>
            <w:tcW w:type="dxa" w:w="3437"/>
            <w:shd w:fill="FFF1F2"/>
            <w:tcMar>
              <w:top w:w="85" w:type="dxa"/>
              <w:start w:w="100" w:type="dxa"/>
              <w:bottom w:w="85" w:type="dxa"/>
              <w:end w:w="100" w:type="dxa"/>
            </w:tcMar>
          </w:tcPr>
          <w:p>
            <w:r>
              <w:rPr>
                <w:rFonts w:ascii="Liberation Sans" w:hAnsi="Liberation Sans"/>
                <w:b/>
                <w:i w:val="0"/>
                <w:color w:val="1D2A33"/>
                <w:sz w:val="16"/>
              </w:rPr>
              <w:t>ÉLEVÉ</w:t>
            </w:r>
          </w:p>
        </w:tc>
        <w:tc>
          <w:tcPr>
            <w:tcW w:type="dxa" w:w="3437"/>
            <w:shd w:fill="FFF1F2"/>
            <w:tcMar>
              <w:top w:w="85" w:type="dxa"/>
              <w:start w:w="100" w:type="dxa"/>
              <w:bottom w:w="85" w:type="dxa"/>
              <w:end w:w="100" w:type="dxa"/>
            </w:tcMar>
          </w:tcPr>
          <w:p>
            <w:r>
              <w:rPr>
                <w:rFonts w:ascii="Liberation Sans" w:hAnsi="Liberation Sans"/>
                <w:b w:val="0"/>
                <w:i w:val="0"/>
                <w:color w:val="1D2A33"/>
                <w:sz w:val="16"/>
              </w:rPr>
              <w:t>Effet juridique sensible</w:t>
            </w:r>
          </w:p>
        </w:tc>
        <w:tc>
          <w:tcPr>
            <w:tcW w:type="dxa" w:w="3437"/>
            <w:shd w:fill="FFF1F2"/>
            <w:tcMar>
              <w:top w:w="85" w:type="dxa"/>
              <w:start w:w="100" w:type="dxa"/>
              <w:bottom w:w="85" w:type="dxa"/>
              <w:end w:w="100" w:type="dxa"/>
            </w:tcMar>
          </w:tcPr>
          <w:p>
            <w:r>
              <w:rPr>
                <w:rFonts w:ascii="Liberation Sans" w:hAnsi="Liberation Sans"/>
                <w:b w:val="0"/>
                <w:i w:val="0"/>
                <w:color w:val="1D2A33"/>
                <w:sz w:val="16"/>
              </w:rPr>
              <w:t>Automatic renewal, refund, responsabilité, juridiction</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3. Préambule et définitions</w:t>
            </w:r>
          </w:p>
          <w:p>
            <w:pPr>
              <w:spacing w:before="40" w:after="0"/>
            </w:pPr>
            <w:r>
              <w:rPr>
                <w:rFonts w:ascii="Liberation Sans" w:hAnsi="Liberation Sans"/>
                <w:b w:val="0"/>
                <w:i w:val="0"/>
                <w:color w:val="DDF5FB"/>
                <w:sz w:val="17"/>
              </w:rPr>
              <w:t>Texte déjà rempli, conçu pour être utilisé comme base de travail.</w:t>
            </w:r>
          </w:p>
        </w:tc>
      </w:tr>
    </w:tbl>
    <w:p>
      <w:pPr>
        <w:spacing w:after="0"/>
      </w:pPr>
    </w:p>
    <w:tbl>
      <w:tblPr>
        <w:tblW w:type="auto" w:w="0"/>
        <w:jc w:val="center"/>
        <w:tblLayout w:type="fixed"/>
        <w:tblLook w:firstColumn="1" w:firstRow="1" w:lastColumn="0" w:lastRow="0" w:noHBand="0" w:noVBand="1" w:val="04A0"/>
      </w:tblPr>
      <w:tblGrid>
        <w:gridCol w:w="198"/>
        <w:gridCol w:w="9638"/>
      </w:tblGrid>
      <w:tr>
        <w:tc>
          <w:tcPr>
            <w:tcW w:type="dxa" w:w="5156"/>
            <w:shd w:fill="0A7DA0"/>
          </w:tcPr>
          <w:p>
            <w:r/>
          </w:p>
        </w:tc>
        <w:tc>
          <w:tcPr>
            <w:tcW w:type="dxa" w:w="5156"/>
            <w:shd w:fill="F1F8FB"/>
            <w:tcMar>
              <w:top w:w="110" w:type="dxa"/>
              <w:start w:w="160" w:type="dxa"/>
              <w:bottom w:w="110" w:type="dxa"/>
              <w:end w:w="160" w:type="dxa"/>
            </w:tcMar>
            <w:vAlign w:val="center"/>
          </w:tcPr>
          <w:p>
            <w:r>
              <w:rPr>
                <w:rFonts w:ascii="Liberation Sans" w:hAnsi="Liberation Sans"/>
                <w:b/>
                <w:i w:val="0"/>
                <w:color w:val="123247"/>
                <w:sz w:val="18"/>
              </w:rPr>
              <w:t>Exemple fictif utilisé</w:t>
            </w:r>
          </w:p>
          <w:p>
            <w:pPr>
              <w:spacing w:after="0"/>
            </w:pPr>
            <w:r>
              <w:rPr>
                <w:rFonts w:ascii="Liberation Sans" w:hAnsi="Liberation Sans"/>
                <w:b w:val="0"/>
                <w:i w:val="0"/>
                <w:color w:val="1D2A33"/>
                <w:sz w:val="17"/>
              </w:rPr>
              <w:t>NOVA SERVICES SAS fournit un logiciel SaaS de gestion et des prestations de conseil à des clients professionnels. Remplacez ce scénario par votre activité réelle.</w:t>
            </w:r>
          </w:p>
        </w:tc>
      </w:tr>
    </w:tbl>
    <w:p>
      <w:pPr>
        <w:pStyle w:val="Heading2"/>
      </w:pPr>
      <w:r>
        <w:rPr>
          <w:rFonts w:ascii="Liberation Sans" w:hAnsi="Liberation Sans"/>
          <w:b/>
          <w:i w:val="0"/>
          <w:color w:val="0A7DA0"/>
          <w:sz w:val="26"/>
        </w:rPr>
        <w:t>3.1. Préambule</w:t>
      </w:r>
    </w:p>
    <w:p>
      <w:pPr>
        <w:keepLines/>
      </w:pPr>
      <w:r>
        <w:rPr>
          <w:rFonts w:ascii="Liberation Sans" w:hAnsi="Liberation Sans"/>
          <w:b w:val="0"/>
          <w:i w:val="0"/>
          <w:sz w:val="18"/>
        </w:rPr>
        <w:t>NOVA SERVICES SAS (ci-après « le Prestataire ») propose une plateforme logicielle accessible en ligne ainsi que des prestations d’accompagnement associées. Les présentes conditions contractuelles définissent les règles applicables aux commandes, abonnements, prestations et utilisations du Service par le Client. Elles constituent une base commune, complétée le cas échéant par un devis, un bon de commande, une proposition commerciale, un Statement of Work ou des conditions particulières.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Remplacez NOVA SERVICES SAS, le type de service et les documents complémentaires par votre propre organisation.</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Le préambule doit décrire ce que l’entreprise vend réellement, sans promettre plus que l’offre commerciale.</w:t>
      </w:r>
    </w:p>
    <w:p>
      <w:pPr>
        <w:pStyle w:val="Heading2"/>
      </w:pPr>
      <w:r>
        <w:rPr>
          <w:rFonts w:ascii="Liberation Sans" w:hAnsi="Liberation Sans"/>
          <w:b/>
          <w:i w:val="0"/>
          <w:color w:val="0A7DA0"/>
          <w:sz w:val="26"/>
        </w:rPr>
        <w:t>3.2 Définitions</w:t>
      </w:r>
    </w:p>
    <w:tbl>
      <w:tblPr>
        <w:tblW w:type="auto" w:w="0"/>
        <w:jc w:val="center"/>
        <w:tblLayout w:type="fixed"/>
        <w:tblLook w:firstColumn="1" w:firstRow="1" w:lastColumn="0" w:lastRow="0" w:noHBand="0" w:noVBand="1" w:val="04A0"/>
      </w:tblPr>
      <w:tblGrid>
        <w:gridCol w:w="2268"/>
        <w:gridCol w:w="7483"/>
      </w:tblGrid>
      <w:tr>
        <w:tc>
          <w:tcPr>
            <w:tcW w:type="dxa" w:w="5156"/>
            <w:shd w:fill="123247"/>
          </w:tcPr>
          <w:p>
            <w:r>
              <w:rPr>
                <w:rFonts w:ascii="Liberation Sans" w:hAnsi="Liberation Sans"/>
                <w:b/>
                <w:i w:val="0"/>
                <w:color w:val="FFFFFF"/>
                <w:sz w:val="16"/>
              </w:rPr>
              <w:t>Terme</w:t>
            </w:r>
          </w:p>
        </w:tc>
        <w:tc>
          <w:tcPr>
            <w:tcW w:type="dxa" w:w="5156"/>
            <w:shd w:fill="123247"/>
          </w:tcPr>
          <w:p>
            <w:r>
              <w:rPr>
                <w:rFonts w:ascii="Liberation Sans" w:hAnsi="Liberation Sans"/>
                <w:b/>
                <w:i w:val="0"/>
                <w:color w:val="FFFFFF"/>
                <w:sz w:val="16"/>
              </w:rPr>
              <w:t>Définition</w:t>
            </w:r>
          </w:p>
        </w:tc>
      </w:tr>
      <w:tr>
        <w:tc>
          <w:tcPr>
            <w:tcW w:type="dxa" w:w="2268"/>
            <w:tcMar>
              <w:top w:w="85" w:type="dxa"/>
              <w:start w:w="100" w:type="dxa"/>
              <w:bottom w:w="85" w:type="dxa"/>
              <w:end w:w="100" w:type="dxa"/>
            </w:tcMar>
            <w:shd w:fill="FAFCFD"/>
          </w:tcPr>
          <w:p>
            <w:r>
              <w:rPr>
                <w:rFonts w:ascii="Liberation Sans" w:hAnsi="Liberation Sans"/>
                <w:b/>
                <w:i w:val="0"/>
                <w:color w:val="0A7DA0"/>
                <w:sz w:val="16"/>
              </w:rPr>
              <w:t>Client</w:t>
            </w:r>
          </w:p>
        </w:tc>
        <w:tc>
          <w:tcPr>
            <w:tcW w:type="dxa" w:w="7483"/>
            <w:tcMar>
              <w:top w:w="85" w:type="dxa"/>
              <w:start w:w="100" w:type="dxa"/>
              <w:bottom w:w="85" w:type="dxa"/>
              <w:end w:w="100" w:type="dxa"/>
            </w:tcMar>
            <w:shd w:fill="FAFCFD"/>
          </w:tcPr>
          <w:p>
            <w:r>
              <w:rPr>
                <w:rFonts w:ascii="Liberation Sans" w:hAnsi="Liberation Sans"/>
                <w:b w:val="0"/>
                <w:i w:val="0"/>
                <w:color w:val="1D2A33"/>
                <w:sz w:val="16"/>
              </w:rPr>
              <w:t>Toute personne morale ou professionnel ayant accepté une offre, un abonnement, un devis ou un bon de commande émis par le Prestataire.</w:t>
            </w:r>
          </w:p>
        </w:tc>
      </w:tr>
      <w:tr>
        <w:tc>
          <w:tcPr>
            <w:tcW w:type="dxa" w:w="2268"/>
            <w:tcMar>
              <w:top w:w="85" w:type="dxa"/>
              <w:start w:w="100" w:type="dxa"/>
              <w:bottom w:w="85" w:type="dxa"/>
              <w:end w:w="100" w:type="dxa"/>
            </w:tcMar>
            <w:shd w:fill="FAFCFD"/>
          </w:tcPr>
          <w:p>
            <w:r>
              <w:rPr>
                <w:rFonts w:ascii="Liberation Sans" w:hAnsi="Liberation Sans"/>
                <w:b/>
                <w:i w:val="0"/>
                <w:color w:val="0A7DA0"/>
                <w:sz w:val="16"/>
              </w:rPr>
              <w:t>Service</w:t>
            </w:r>
          </w:p>
        </w:tc>
        <w:tc>
          <w:tcPr>
            <w:tcW w:type="dxa" w:w="7483"/>
            <w:tcMar>
              <w:top w:w="85" w:type="dxa"/>
              <w:start w:w="100" w:type="dxa"/>
              <w:bottom w:w="85" w:type="dxa"/>
              <w:end w:w="100" w:type="dxa"/>
            </w:tcMar>
            <w:shd w:fill="FAFCFD"/>
          </w:tcPr>
          <w:p>
            <w:r>
              <w:rPr>
                <w:rFonts w:ascii="Liberation Sans" w:hAnsi="Liberation Sans"/>
                <w:b w:val="0"/>
                <w:i w:val="0"/>
                <w:color w:val="1D2A33"/>
                <w:sz w:val="16"/>
              </w:rPr>
              <w:t>La plateforme SaaS, ses fonctionnalités, interfaces, documentations et services d’accompagnement visés dans l’offre souscrite.</w:t>
            </w:r>
          </w:p>
        </w:tc>
      </w:tr>
      <w:tr>
        <w:tc>
          <w:tcPr>
            <w:tcW w:type="dxa" w:w="2268"/>
            <w:tcMar>
              <w:top w:w="85" w:type="dxa"/>
              <w:start w:w="100" w:type="dxa"/>
              <w:bottom w:w="85" w:type="dxa"/>
              <w:end w:w="100" w:type="dxa"/>
            </w:tcMar>
            <w:shd w:fill="FAFCFD"/>
          </w:tcPr>
          <w:p>
            <w:r>
              <w:rPr>
                <w:rFonts w:ascii="Liberation Sans" w:hAnsi="Liberation Sans"/>
                <w:b/>
                <w:i w:val="0"/>
                <w:color w:val="0A7DA0"/>
                <w:sz w:val="16"/>
              </w:rPr>
              <w:t>Compte</w:t>
            </w:r>
          </w:p>
        </w:tc>
        <w:tc>
          <w:tcPr>
            <w:tcW w:type="dxa" w:w="7483"/>
            <w:tcMar>
              <w:top w:w="85" w:type="dxa"/>
              <w:start w:w="100" w:type="dxa"/>
              <w:bottom w:w="85" w:type="dxa"/>
              <w:end w:w="100" w:type="dxa"/>
            </w:tcMar>
            <w:shd w:fill="FAFCFD"/>
          </w:tcPr>
          <w:p>
            <w:r>
              <w:rPr>
                <w:rFonts w:ascii="Liberation Sans" w:hAnsi="Liberation Sans"/>
                <w:b w:val="0"/>
                <w:i w:val="0"/>
                <w:color w:val="1D2A33"/>
                <w:sz w:val="16"/>
              </w:rPr>
              <w:t>L’espace sécurisé attribué au Client ou à ses utilisateurs autorisés.</w:t>
            </w:r>
          </w:p>
        </w:tc>
      </w:tr>
      <w:tr>
        <w:tc>
          <w:tcPr>
            <w:tcW w:type="dxa" w:w="2268"/>
            <w:tcMar>
              <w:top w:w="85" w:type="dxa"/>
              <w:start w:w="100" w:type="dxa"/>
              <w:bottom w:w="85" w:type="dxa"/>
              <w:end w:w="100" w:type="dxa"/>
            </w:tcMar>
            <w:shd w:fill="FAFCFD"/>
          </w:tcPr>
          <w:p>
            <w:r>
              <w:rPr>
                <w:rFonts w:ascii="Liberation Sans" w:hAnsi="Liberation Sans"/>
                <w:b/>
                <w:i w:val="0"/>
                <w:color w:val="0A7DA0"/>
                <w:sz w:val="16"/>
              </w:rPr>
              <w:t>Utilisateur autorisé</w:t>
            </w:r>
          </w:p>
        </w:tc>
        <w:tc>
          <w:tcPr>
            <w:tcW w:type="dxa" w:w="7483"/>
            <w:tcMar>
              <w:top w:w="85" w:type="dxa"/>
              <w:start w:w="100" w:type="dxa"/>
              <w:bottom w:w="85" w:type="dxa"/>
              <w:end w:w="100" w:type="dxa"/>
            </w:tcMar>
            <w:shd w:fill="FAFCFD"/>
          </w:tcPr>
          <w:p>
            <w:r>
              <w:rPr>
                <w:rFonts w:ascii="Liberation Sans" w:hAnsi="Liberation Sans"/>
                <w:b w:val="0"/>
                <w:i w:val="0"/>
                <w:color w:val="1D2A33"/>
                <w:sz w:val="16"/>
              </w:rPr>
              <w:t>Toute personne autorisée par le Client à accéder au Service sous sa responsabilité.</w:t>
            </w:r>
          </w:p>
        </w:tc>
      </w:tr>
      <w:tr>
        <w:tc>
          <w:tcPr>
            <w:tcW w:type="dxa" w:w="2268"/>
            <w:tcMar>
              <w:top w:w="85" w:type="dxa"/>
              <w:start w:w="100" w:type="dxa"/>
              <w:bottom w:w="85" w:type="dxa"/>
              <w:end w:w="100" w:type="dxa"/>
            </w:tcMar>
            <w:shd w:fill="FAFCFD"/>
          </w:tcPr>
          <w:p>
            <w:r>
              <w:rPr>
                <w:rFonts w:ascii="Liberation Sans" w:hAnsi="Liberation Sans"/>
                <w:b/>
                <w:i w:val="0"/>
                <w:color w:val="0A7DA0"/>
                <w:sz w:val="16"/>
              </w:rPr>
              <w:t>Commande</w:t>
            </w:r>
          </w:p>
        </w:tc>
        <w:tc>
          <w:tcPr>
            <w:tcW w:type="dxa" w:w="7483"/>
            <w:tcMar>
              <w:top w:w="85" w:type="dxa"/>
              <w:start w:w="100" w:type="dxa"/>
              <w:bottom w:w="85" w:type="dxa"/>
              <w:end w:w="100" w:type="dxa"/>
            </w:tcMar>
            <w:shd w:fill="FAFCFD"/>
          </w:tcPr>
          <w:p>
            <w:r>
              <w:rPr>
                <w:rFonts w:ascii="Liberation Sans" w:hAnsi="Liberation Sans"/>
                <w:b w:val="0"/>
                <w:i w:val="0"/>
                <w:color w:val="1D2A33"/>
                <w:sz w:val="16"/>
              </w:rPr>
              <w:t>Tout devis signé, bon de commande accepté, souscription en ligne ou document contractuel établissant l’accord commercial.</w:t>
            </w:r>
          </w:p>
        </w:tc>
      </w:tr>
      <w:tr>
        <w:tc>
          <w:tcPr>
            <w:tcW w:type="dxa" w:w="2268"/>
            <w:tcMar>
              <w:top w:w="85" w:type="dxa"/>
              <w:start w:w="100" w:type="dxa"/>
              <w:bottom w:w="85" w:type="dxa"/>
              <w:end w:w="100" w:type="dxa"/>
            </w:tcMar>
            <w:shd w:fill="FAFCFD"/>
          </w:tcPr>
          <w:p>
            <w:r>
              <w:rPr>
                <w:rFonts w:ascii="Liberation Sans" w:hAnsi="Liberation Sans"/>
                <w:b/>
                <w:i w:val="0"/>
                <w:color w:val="0A7DA0"/>
                <w:sz w:val="16"/>
              </w:rPr>
              <w:t>Données Client</w:t>
            </w:r>
          </w:p>
        </w:tc>
        <w:tc>
          <w:tcPr>
            <w:tcW w:type="dxa" w:w="7483"/>
            <w:tcMar>
              <w:top w:w="85" w:type="dxa"/>
              <w:start w:w="100" w:type="dxa"/>
              <w:bottom w:w="85" w:type="dxa"/>
              <w:end w:w="100" w:type="dxa"/>
            </w:tcMar>
            <w:shd w:fill="FAFCFD"/>
          </w:tcPr>
          <w:p>
            <w:r>
              <w:rPr>
                <w:rFonts w:ascii="Liberation Sans" w:hAnsi="Liberation Sans"/>
                <w:b w:val="0"/>
                <w:i w:val="0"/>
                <w:color w:val="1D2A33"/>
                <w:sz w:val="16"/>
              </w:rPr>
              <w:t>Les informations, contenus et fichiers transmis ou générés par le Client dans le cadre de l’utilisation du Service.</w:t>
            </w:r>
          </w:p>
        </w:tc>
      </w:tr>
    </w:tbl>
    <w:p>
      <w:pPr>
        <w:pStyle w:val="Heading2"/>
      </w:pPr>
      <w:r>
        <w:rPr>
          <w:rFonts w:ascii="Liberation Sans" w:hAnsi="Liberation Sans"/>
          <w:b/>
          <w:i w:val="0"/>
          <w:color w:val="0A7DA0"/>
          <w:sz w:val="26"/>
        </w:rPr>
        <w:t>3.3. Hiérarchie contractuelle</w:t>
      </w:r>
    </w:p>
    <w:p>
      <w:pPr>
        <w:keepLines/>
      </w:pPr>
      <w:r>
        <w:rPr>
          <w:rFonts w:ascii="Liberation Sans" w:hAnsi="Liberation Sans"/>
          <w:b w:val="0"/>
          <w:i w:val="0"/>
          <w:sz w:val="18"/>
        </w:rPr>
        <w:t>En cas de contradiction entre plusieurs documents contractuels, l’ordre de priorité suivant est appliqué, sauf stipulation expresse contraire : (1) conditions particulières ou Statement of Work ; (2) devis ou bon de commande accepté ; (3) présentes Conditions ; (4) documentation fonctionnelle du Service. Toute condition d’achat du Client qui n’a pas été expressément acceptée par écrit est écartée dans la mesure permise par le cadre applicable.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Adaptez l’ordre de priorité à vos documents réels ; supprimez la référence aux conditions d’achat si elle n’est pas pertinente.</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4. Objet, champ d’application et acceptation</w:t>
            </w:r>
          </w:p>
          <w:p>
            <w:pPr>
              <w:spacing w:before="40" w:after="0"/>
            </w:pPr>
            <w:r>
              <w:rPr>
                <w:rFonts w:ascii="Liberation Sans" w:hAnsi="Liberation Sans"/>
                <w:b w:val="0"/>
                <w:i w:val="0"/>
                <w:color w:val="DDF5FB"/>
                <w:sz w:val="17"/>
              </w:rPr>
              <w:t>Clauses de base à conserver dans presque tous les scénarios.</w:t>
            </w:r>
          </w:p>
        </w:tc>
      </w:tr>
    </w:tbl>
    <w:p>
      <w:pPr>
        <w:spacing w:after="0"/>
      </w:pPr>
    </w:p>
    <w:p>
      <w:pPr>
        <w:pStyle w:val="Heading2"/>
      </w:pPr>
      <w:r>
        <w:rPr>
          <w:rFonts w:ascii="Liberation Sans" w:hAnsi="Liberation Sans"/>
          <w:b/>
          <w:i w:val="0"/>
          <w:color w:val="0A7DA0"/>
          <w:sz w:val="26"/>
        </w:rPr>
        <w:t>4.1. Objet</w:t>
      </w:r>
    </w:p>
    <w:p>
      <w:pPr>
        <w:keepLines/>
      </w:pPr>
      <w:r>
        <w:rPr>
          <w:rFonts w:ascii="Liberation Sans" w:hAnsi="Liberation Sans"/>
          <w:b w:val="0"/>
          <w:i w:val="0"/>
          <w:sz w:val="18"/>
        </w:rPr>
        <w:t>Les présentes Conditions ont pour objet de définir les droits et obligations des parties dans le cadre de l’accès au Service, de la souscription d’un abonnement et, le cas échéant, de la réalisation de prestations professionnelles complémentaires. Elles encadrent notamment la création des comptes, les modalités financières, les règles d’utilisation, la propriété intellectuelle, la confidentialité, la disponibilité du Service, la résiliation et la responsabilité.</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Remplacez la liste par les composantes exactes de votre offre.</w:t>
            </w:r>
          </w:p>
        </w:tc>
      </w:tr>
    </w:tbl>
    <w:p>
      <w:pPr>
        <w:pStyle w:val="Heading2"/>
      </w:pPr>
      <w:r>
        <w:rPr>
          <w:rFonts w:ascii="Liberation Sans" w:hAnsi="Liberation Sans"/>
          <w:b/>
          <w:i w:val="0"/>
          <w:color w:val="0A7DA0"/>
          <w:sz w:val="26"/>
        </w:rPr>
        <w:t>4.2. Champ d’application</w:t>
      </w:r>
    </w:p>
    <w:p>
      <w:pPr>
        <w:keepLines/>
      </w:pPr>
      <w:r>
        <w:rPr>
          <w:rFonts w:ascii="Liberation Sans" w:hAnsi="Liberation Sans"/>
          <w:b w:val="0"/>
          <w:i w:val="0"/>
          <w:sz w:val="18"/>
        </w:rPr>
        <w:t>Sauf mention contraire dans une offre spécifique, les présentes Conditions s’appliquent à l’ensemble des Services commercialisés par le Prestataire à destination des clients professionnels. Elles prennent effet à compter de la première Commande et demeurent applicables pendant toute la durée de la relation contractuelle.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Si vous vendez aussi aux consommateurs, créez une variante ou identifiez explicitement les clauses B2C.</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Le public visé doit être cohérent avec votre site, votre checkout et vos documents commerciaux.</w:t>
      </w:r>
    </w:p>
    <w:p>
      <w:pPr>
        <w:pStyle w:val="Heading2"/>
      </w:pPr>
      <w:r>
        <w:rPr>
          <w:rFonts w:ascii="Liberation Sans" w:hAnsi="Liberation Sans"/>
          <w:b/>
          <w:i w:val="0"/>
          <w:color w:val="0A7DA0"/>
          <w:sz w:val="26"/>
        </w:rPr>
        <w:t>4.3. Acceptation des Conditions</w:t>
      </w:r>
    </w:p>
    <w:p>
      <w:pPr>
        <w:keepLines/>
      </w:pPr>
      <w:r>
        <w:rPr>
          <w:rFonts w:ascii="Liberation Sans" w:hAnsi="Liberation Sans"/>
          <w:b w:val="0"/>
          <w:i w:val="0"/>
          <w:sz w:val="18"/>
        </w:rPr>
        <w:t>Le Client reconnaît avoir pris connaissance des Conditions avant la conclusion de la Commande. L’acceptation peut résulter de la signature d’un devis, de la validation d’un bon de commande, de la souscription en ligne ou de tout autre mécanisme d’acceptation expressément prévu dans le parcours commercial.</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Décrivez le mécanisme réel : case à cocher, signature électronique, devis signé, bon de commande, etc.</w:t>
            </w:r>
          </w:p>
        </w:tc>
      </w:tr>
    </w:tbl>
    <w:p>
      <w:pPr>
        <w:pStyle w:val="Heading2"/>
      </w:pPr>
      <w:r>
        <w:rPr>
          <w:rFonts w:ascii="Liberation Sans" w:hAnsi="Liberation Sans"/>
          <w:b/>
          <w:i w:val="0"/>
          <w:color w:val="0A7DA0"/>
          <w:sz w:val="26"/>
        </w:rPr>
        <w:t>4.4. Modifications</w:t>
      </w:r>
    </w:p>
    <w:p>
      <w:pPr>
        <w:keepLines/>
      </w:pPr>
      <w:r>
        <w:rPr>
          <w:rFonts w:ascii="Liberation Sans" w:hAnsi="Liberation Sans"/>
          <w:b w:val="0"/>
          <w:i w:val="0"/>
          <w:sz w:val="18"/>
        </w:rPr>
        <w:t>Les évolutions purement techniques ou rédactionnelles peuvent être publiées dans une version mise à jour. Toute modification affectant de manière substantielle les droits ou obligations du Client pendant une période contractuelle en cours doit faire l’objet d’une information adaptée et, lorsque cela est nécessaire, d’un mécanisme d’acceptation ou d’une faculté de résiliation.</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Évitez une clause donnant un pouvoir de modification illimité. Précisez votre processus d’information.</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Les modifications unilatérales constituent une zone de vigilance, surtout en B2C.</w:t>
      </w:r>
    </w:p>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5. Formation du contrat, commandes et exécution</w:t>
            </w:r>
          </w:p>
          <w:p>
            <w:pPr>
              <w:spacing w:before="40" w:after="0"/>
            </w:pPr>
            <w:r>
              <w:rPr>
                <w:rFonts w:ascii="Liberation Sans" w:hAnsi="Liberation Sans"/>
                <w:b w:val="0"/>
                <w:i w:val="0"/>
                <w:color w:val="DDF5FB"/>
                <w:sz w:val="17"/>
              </w:rPr>
              <w:t>Le cœur du parcours commercial.</w:t>
            </w:r>
          </w:p>
        </w:tc>
      </w:tr>
    </w:tbl>
    <w:p>
      <w:pPr>
        <w:spacing w:after="0"/>
      </w:pPr>
    </w:p>
    <w:p>
      <w:pPr>
        <w:pStyle w:val="Heading2"/>
      </w:pPr>
      <w:r>
        <w:rPr>
          <w:rFonts w:ascii="Liberation Sans" w:hAnsi="Liberation Sans"/>
          <w:b/>
          <w:i w:val="0"/>
          <w:color w:val="0A7DA0"/>
          <w:sz w:val="26"/>
        </w:rPr>
        <w:t>5.1. Formation du contrat</w:t>
      </w:r>
    </w:p>
    <w:p>
      <w:pPr>
        <w:keepLines/>
      </w:pPr>
      <w:r>
        <w:rPr>
          <w:rFonts w:ascii="Liberation Sans" w:hAnsi="Liberation Sans"/>
          <w:b w:val="0"/>
          <w:i w:val="0"/>
          <w:sz w:val="18"/>
        </w:rPr>
        <w:t>La remise d’une proposition commerciale ne constitue pas, à elle seule, l’acceptation définitive d’une Commande. Le contrat est formé lorsque le Client accepte l’offre selon le mécanisme prévu et que le Prestataire confirme la prise en charge de la Commande, sous réserve, le cas échéant, de la disponibilité du Service, de la validation du paiement ou de toute condition expressément indiquée dans l’offre.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Indiquez précisément quand le contrat naît dans votre processus.</w:t>
            </w:r>
          </w:p>
        </w:tc>
      </w:tr>
    </w:tbl>
    <w:p>
      <w:pPr>
        <w:pStyle w:val="Heading2"/>
      </w:pPr>
      <w:r>
        <w:rPr>
          <w:rFonts w:ascii="Liberation Sans" w:hAnsi="Liberation Sans"/>
          <w:b/>
          <w:i w:val="0"/>
          <w:color w:val="0A7DA0"/>
          <w:sz w:val="26"/>
        </w:rPr>
        <w:t>5.2. Contenu de la Commande</w:t>
      </w:r>
    </w:p>
    <w:p>
      <w:pPr>
        <w:keepLines/>
      </w:pPr>
      <w:r>
        <w:rPr>
          <w:rFonts w:ascii="Liberation Sans" w:hAnsi="Liberation Sans"/>
          <w:b w:val="0"/>
          <w:i w:val="0"/>
          <w:sz w:val="18"/>
        </w:rPr>
        <w:t>La Commande précise au minimum l’offre souscrite, le nombre d’utilisateurs ou le volume inclus, le prix, la durée initiale, la périodicité de facturation et les éventuelles prestations additionnelles. Tout élément non mentionné dans la Commande est réputé exclu du périmètre initial, sauf accord écrit entre les parties.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vos indicateurs : nombre de licences, stockage, nombre de sites, heures de conseil, etc.</w:t>
            </w:r>
          </w:p>
        </w:tc>
      </w:tr>
    </w:tbl>
    <w:p>
      <w:pPr>
        <w:pStyle w:val="Heading2"/>
      </w:pPr>
      <w:r>
        <w:rPr>
          <w:rFonts w:ascii="Liberation Sans" w:hAnsi="Liberation Sans"/>
          <w:b/>
          <w:i w:val="0"/>
          <w:color w:val="0A7DA0"/>
          <w:sz w:val="26"/>
        </w:rPr>
        <w:t>5.3. Prestations complémentaires et changements de périmètre</w:t>
      </w:r>
    </w:p>
    <w:p>
      <w:pPr>
        <w:keepLines/>
      </w:pPr>
      <w:r>
        <w:rPr>
          <w:rFonts w:ascii="Liberation Sans" w:hAnsi="Liberation Sans"/>
          <w:b w:val="0"/>
          <w:i w:val="0"/>
          <w:sz w:val="18"/>
        </w:rPr>
        <w:t>Toute demande modifiant substantiellement le périmètre, les livrables, les délais ou la charge prévue peut donner lieu à une estimation complémentaire. Le Prestataire informe le Client de l’impact avant d’engager les travaux supplémentaires. Le changement devient applicable après validation écrite du Client.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Décrivez votre circuit de change request ou d’avenant.</w:t>
            </w:r>
          </w:p>
        </w:tc>
      </w:tr>
    </w:tbl>
    <w:p>
      <w:pPr>
        <w:pStyle w:val="Heading2"/>
      </w:pPr>
      <w:r>
        <w:rPr>
          <w:rFonts w:ascii="Liberation Sans" w:hAnsi="Liberation Sans"/>
          <w:b/>
          <w:i w:val="0"/>
          <w:color w:val="0A7DA0"/>
          <w:sz w:val="26"/>
        </w:rPr>
        <w:t>5.4. Coopération du Client</w:t>
      </w:r>
    </w:p>
    <w:p>
      <w:pPr>
        <w:keepLines/>
      </w:pPr>
      <w:r>
        <w:rPr>
          <w:rFonts w:ascii="Liberation Sans" w:hAnsi="Liberation Sans"/>
          <w:b w:val="0"/>
          <w:i w:val="0"/>
          <w:sz w:val="18"/>
        </w:rPr>
        <w:t>Le Client fournit dans les délais raisonnables les informations, accès, validations et ressources nécessaires à l’exécution du Service. Un retard imputable au Client peut entraîner un décalage du calendrier sans constituer un manquement du Prestataire, sous réserve d’une information appropriée.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les obligations spécifiques : interlocuteur projet, accès SI, données, validation de recette, etc.</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6. Prix, facturation et paiement</w:t>
            </w:r>
          </w:p>
          <w:p>
            <w:pPr>
              <w:spacing w:before="40" w:after="0"/>
            </w:pPr>
            <w:r>
              <w:rPr>
                <w:rFonts w:ascii="Liberation Sans" w:hAnsi="Liberation Sans"/>
                <w:b w:val="0"/>
                <w:i w:val="0"/>
                <w:color w:val="DDF5FB"/>
                <w:sz w:val="17"/>
              </w:rPr>
              <w:t>Bloc financier rempli et facilement personnalisable.</w:t>
            </w:r>
          </w:p>
        </w:tc>
      </w:tr>
    </w:tbl>
    <w:p>
      <w:pPr>
        <w:spacing w:after="0"/>
      </w:pPr>
    </w:p>
    <w:p>
      <w:pPr>
        <w:pStyle w:val="Heading2"/>
      </w:pPr>
      <w:r>
        <w:rPr>
          <w:rFonts w:ascii="Liberation Sans" w:hAnsi="Liberation Sans"/>
          <w:b/>
          <w:i w:val="0"/>
          <w:color w:val="0A7DA0"/>
          <w:sz w:val="26"/>
        </w:rPr>
        <w:t>6.1. Prix</w:t>
      </w:r>
    </w:p>
    <w:p>
      <w:pPr>
        <w:keepLines/>
      </w:pPr>
      <w:r>
        <w:rPr>
          <w:rFonts w:ascii="Liberation Sans" w:hAnsi="Liberation Sans"/>
          <w:b w:val="0"/>
          <w:i w:val="0"/>
          <w:sz w:val="18"/>
        </w:rPr>
        <w:t>Les prix applicables sont ceux figurant dans la Commande, exprimés hors taxes sauf indication contraire. Les taxes, frais de déplacement, services hors périmètre ou consommations supplémentaires sont facturés lorsqu’ils sont expressément prévus ou acceptés par le Client.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Indiquez HT/TTC, devise, taxes, frais annexes et règles de dépassement.</w:t>
            </w:r>
          </w:p>
        </w:tc>
      </w:tr>
    </w:tbl>
    <w:p>
      <w:pPr>
        <w:pStyle w:val="Heading2"/>
      </w:pPr>
      <w:r>
        <w:rPr>
          <w:rFonts w:ascii="Liberation Sans" w:hAnsi="Liberation Sans"/>
          <w:b/>
          <w:i w:val="0"/>
          <w:color w:val="0A7DA0"/>
          <w:sz w:val="26"/>
        </w:rPr>
        <w:t>6.2. Facturation</w:t>
      </w:r>
    </w:p>
    <w:p>
      <w:pPr>
        <w:keepLines/>
      </w:pPr>
      <w:r>
        <w:rPr>
          <w:rFonts w:ascii="Liberation Sans" w:hAnsi="Liberation Sans"/>
          <w:b w:val="0"/>
          <w:i w:val="0"/>
          <w:sz w:val="18"/>
        </w:rPr>
        <w:t>Les abonnements sont facturés mensuellement ou annuellement selon l’offre retenue. Les prestations de conseil peuvent être facturées à la commande, par jalon ou à l’achèvement selon le devis. Chaque facture mentionne les références nécessaires à son traitement.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Choisissez votre périodicité réelle et les jalons de facturation.</w:t>
            </w:r>
          </w:p>
        </w:tc>
      </w:tr>
    </w:tbl>
    <w:p>
      <w:pPr>
        <w:pStyle w:val="Heading2"/>
      </w:pPr>
      <w:r>
        <w:rPr>
          <w:rFonts w:ascii="Liberation Sans" w:hAnsi="Liberation Sans"/>
          <w:b/>
          <w:i w:val="0"/>
          <w:color w:val="0A7DA0"/>
          <w:sz w:val="26"/>
        </w:rPr>
        <w:t>6.3. Modalités de paiement</w:t>
      </w:r>
    </w:p>
    <w:p>
      <w:pPr>
        <w:keepLines/>
      </w:pPr>
      <w:r>
        <w:rPr>
          <w:rFonts w:ascii="Liberation Sans" w:hAnsi="Liberation Sans"/>
          <w:b w:val="0"/>
          <w:i w:val="0"/>
          <w:sz w:val="18"/>
        </w:rPr>
        <w:t>Sauf stipulation particulière, les factures sont payables par virement ou prélèvement selon les coordonnées indiquées sur la facture. Le Client veille à maintenir des informations de paiement valides. Tout changement de moyen de paiement doit être réalisé avant l’échéance suivante.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carte bancaire, prélèvement SEPA, virement ou autre moyen accepté.</w:t>
            </w:r>
          </w:p>
        </w:tc>
      </w:tr>
    </w:tbl>
    <w:p>
      <w:pPr>
        <w:pStyle w:val="Heading2"/>
      </w:pPr>
      <w:r>
        <w:rPr>
          <w:rFonts w:ascii="Liberation Sans" w:hAnsi="Liberation Sans"/>
          <w:b/>
          <w:i w:val="0"/>
          <w:color w:val="0A7DA0"/>
          <w:sz w:val="26"/>
        </w:rPr>
        <w:t>6.4. Retard de paiement</w:t>
      </w:r>
    </w:p>
    <w:p>
      <w:pPr>
        <w:keepLines/>
      </w:pPr>
      <w:r>
        <w:rPr>
          <w:rFonts w:ascii="Liberation Sans" w:hAnsi="Liberation Sans"/>
          <w:b w:val="0"/>
          <w:i w:val="0"/>
          <w:sz w:val="18"/>
        </w:rPr>
        <w:t>En cas de retard, le Prestataire peut adresser un rappel et appliquer les conséquences prévues dans la Commande et par les règles applicables. Après mise en demeure restée sans effet pendant le délai indiqué, l’accès au Service peut être suspendu de manière proportionnée, sous réserve des obligations légales ou contractuelles contraires.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Remplacez par vos pénalités, délai de mise en demeure et indemnité applicable après vérification juridique.</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Ne copiez pas mécaniquement un taux de pénalité : vérifiez la règle locale et votre type de client.</w:t>
      </w:r>
    </w:p>
    <w:p>
      <w:pPr>
        <w:pStyle w:val="Heading2"/>
      </w:pPr>
      <w:r>
        <w:rPr>
          <w:rFonts w:ascii="Liberation Sans" w:hAnsi="Liberation Sans"/>
          <w:b/>
          <w:i w:val="0"/>
          <w:color w:val="0A7DA0"/>
          <w:sz w:val="26"/>
        </w:rPr>
        <w:t>6.5. Révision des prix</w:t>
      </w:r>
    </w:p>
    <w:p>
      <w:pPr>
        <w:keepLines/>
      </w:pPr>
      <w:r>
        <w:rPr>
          <w:rFonts w:ascii="Liberation Sans" w:hAnsi="Liberation Sans"/>
          <w:b w:val="0"/>
          <w:i w:val="0"/>
          <w:sz w:val="18"/>
        </w:rPr>
        <w:t>Une évolution tarifaire applicable à une période de renouvellement ultérieure est communiquée avant son entrée en vigueur. Le prix d’une période déjà payée ou engagée reste inchangé sauf accord des parties ou mécanisme expressément prévu dans la Commande.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Indiquez le préavis et, si applicable, la formule d’indexation.</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7. Abonnement, renouvellement et résiliation</w:t>
            </w:r>
          </w:p>
          <w:p>
            <w:pPr>
              <w:spacing w:before="40" w:after="0"/>
            </w:pPr>
            <w:r>
              <w:rPr>
                <w:rFonts w:ascii="Liberation Sans" w:hAnsi="Liberation Sans"/>
                <w:b w:val="0"/>
                <w:i w:val="0"/>
                <w:color w:val="DDF5FB"/>
                <w:sz w:val="17"/>
              </w:rPr>
              <w:t>Zone de vigilance : rendre le mécanisme lisible et opérationnel.</w:t>
            </w:r>
          </w:p>
        </w:tc>
      </w:tr>
    </w:tbl>
    <w:p>
      <w:pPr>
        <w:spacing w:after="0"/>
      </w:pPr>
    </w:p>
    <w:p>
      <w:pPr>
        <w:pStyle w:val="Heading2"/>
      </w:pPr>
      <w:r>
        <w:rPr>
          <w:rFonts w:ascii="Liberation Sans" w:hAnsi="Liberation Sans"/>
          <w:b/>
          <w:i w:val="0"/>
          <w:color w:val="0A7DA0"/>
          <w:sz w:val="26"/>
        </w:rPr>
        <w:t>7.1. Durée initiale</w:t>
      </w:r>
    </w:p>
    <w:p>
      <w:pPr>
        <w:keepLines/>
      </w:pPr>
      <w:r>
        <w:rPr>
          <w:rFonts w:ascii="Liberation Sans" w:hAnsi="Liberation Sans"/>
          <w:b w:val="0"/>
          <w:i w:val="0"/>
          <w:sz w:val="18"/>
        </w:rPr>
        <w:t>L’abonnement débute à la date indiquée dans la Commande pour la durée initiale convenue. À défaut de précision, la durée retenue dans cet exemple est de douze mois. Les prestations ponctuelles prennent fin après réalisation du périmètre prévu, sous réserve des clauses survivant à leur expiration.</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Remplacez la durée par votre offre réelle.</w:t>
            </w:r>
          </w:p>
        </w:tc>
      </w:tr>
    </w:tbl>
    <w:p>
      <w:pPr>
        <w:pStyle w:val="Heading2"/>
      </w:pPr>
      <w:r>
        <w:rPr>
          <w:rFonts w:ascii="Liberation Sans" w:hAnsi="Liberation Sans"/>
          <w:b/>
          <w:i w:val="0"/>
          <w:color w:val="0A7DA0"/>
          <w:sz w:val="26"/>
        </w:rPr>
        <w:t>7.2. Renouvellement</w:t>
      </w:r>
    </w:p>
    <w:p>
      <w:pPr>
        <w:keepLines/>
      </w:pPr>
      <w:r>
        <w:rPr>
          <w:rFonts w:ascii="Liberation Sans" w:hAnsi="Liberation Sans"/>
          <w:b w:val="0"/>
          <w:i w:val="0"/>
          <w:sz w:val="18"/>
        </w:rPr>
        <w:t>Lorsque la Commande prévoit un renouvellement automatique, l’abonnement est renouvelé pour une période équivalente, sauf dénonciation selon le délai indiqué dans l’offre. Le Client reçoit, lorsque le contexte l’exige, une information permettant d’identifier la prochaine échéance, le prix applicable et la procédure de résiliation.</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préavis de résiliation = [30 jours / autre] ; périodicité = [mensuelle / annuelle].</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Automatic renewal : vérifier les règles particulières selon la juridiction et le type de client.</w:t>
      </w:r>
    </w:p>
    <w:p>
      <w:pPr>
        <w:pStyle w:val="Heading2"/>
      </w:pPr>
      <w:r>
        <w:rPr>
          <w:rFonts w:ascii="Liberation Sans" w:hAnsi="Liberation Sans"/>
          <w:b/>
          <w:i w:val="0"/>
          <w:color w:val="0A7DA0"/>
          <w:sz w:val="26"/>
        </w:rPr>
        <w:t>7.3. Résiliation à l’initiative du Client</w:t>
      </w:r>
    </w:p>
    <w:p>
      <w:pPr>
        <w:keepLines/>
      </w:pPr>
      <w:r>
        <w:rPr>
          <w:rFonts w:ascii="Liberation Sans" w:hAnsi="Liberation Sans"/>
          <w:b w:val="0"/>
          <w:i w:val="0"/>
          <w:sz w:val="18"/>
        </w:rPr>
        <w:t>Le Client peut notifier sa décision de ne pas renouveler via le canal prévu dans son espace client ou par écrit à l’adresse indiquée dans la Commande. La résiliation prend effet à l’échéance contractuelle, sauf droit de résiliation anticipée prévu par les documents contractuels ou le droit applicable.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Décrivez exactement le canal réel : interface, email, courrier, support.</w:t>
            </w:r>
          </w:p>
        </w:tc>
      </w:tr>
    </w:tbl>
    <w:p>
      <w:pPr>
        <w:pStyle w:val="Heading2"/>
      </w:pPr>
      <w:r>
        <w:rPr>
          <w:rFonts w:ascii="Liberation Sans" w:hAnsi="Liberation Sans"/>
          <w:b/>
          <w:i w:val="0"/>
          <w:color w:val="0A7DA0"/>
          <w:sz w:val="26"/>
        </w:rPr>
        <w:t>7.4. Résiliation pour manquement</w:t>
      </w:r>
    </w:p>
    <w:p>
      <w:pPr>
        <w:keepLines/>
      </w:pPr>
      <w:r>
        <w:rPr>
          <w:rFonts w:ascii="Liberation Sans" w:hAnsi="Liberation Sans"/>
          <w:b w:val="0"/>
          <w:i w:val="0"/>
          <w:sz w:val="18"/>
        </w:rPr>
        <w:t>En cas de manquement grave à une obligation essentielle, l’autre partie peut demander la régularisation dans un délai raisonnable. À défaut de correction dans ce délai, la partie non défaillante peut résilier le contrat dans les conditions prévues par la Commande et le droit applicable.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Précisez le délai de remède et les manquements critiques pouvant justifier une suspension immédiate.</w:t>
            </w:r>
          </w:p>
        </w:tc>
      </w:tr>
    </w:tbl>
    <w:p>
      <w:pPr>
        <w:pStyle w:val="Heading2"/>
      </w:pPr>
      <w:r>
        <w:rPr>
          <w:rFonts w:ascii="Liberation Sans" w:hAnsi="Liberation Sans"/>
          <w:b/>
          <w:i w:val="0"/>
          <w:color w:val="0A7DA0"/>
          <w:sz w:val="26"/>
        </w:rPr>
        <w:t>7.5. Effets de la fin du contrat</w:t>
      </w:r>
    </w:p>
    <w:p>
      <w:pPr>
        <w:keepLines/>
      </w:pPr>
      <w:r>
        <w:rPr>
          <w:rFonts w:ascii="Liberation Sans" w:hAnsi="Liberation Sans"/>
          <w:b w:val="0"/>
          <w:i w:val="0"/>
          <w:sz w:val="18"/>
        </w:rPr>
        <w:t>À la date effective de fin, les droits d’accès cessent. Le Client dispose, lorsque le Service le permet et selon l’offre souscrite, d’une période d’export des Données Client. Les sommes déjà exigibles restent dues. Les clauses qui, par leur nature, ont vocation à survivre continuent de produire effet, notamment celles relatives à la confidentialité, la propriété intellectuelle et la responsabilité.</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Indiquez la durée d’export et la procédure de restitution ou suppression.</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8. Comptes, utilisation acceptable et sécurité</w:t>
            </w:r>
          </w:p>
          <w:p>
            <w:pPr>
              <w:spacing w:before="40" w:after="0"/>
            </w:pPr>
            <w:r>
              <w:rPr>
                <w:rFonts w:ascii="Liberation Sans" w:hAnsi="Liberation Sans"/>
                <w:b w:val="0"/>
                <w:i w:val="0"/>
                <w:color w:val="DDF5FB"/>
                <w:sz w:val="17"/>
              </w:rPr>
              <w:t>Clauses adaptées aux services numériques.</w:t>
            </w:r>
          </w:p>
        </w:tc>
      </w:tr>
    </w:tbl>
    <w:p>
      <w:pPr>
        <w:spacing w:after="0"/>
      </w:pPr>
    </w:p>
    <w:p>
      <w:pPr>
        <w:pStyle w:val="Heading2"/>
      </w:pPr>
      <w:r>
        <w:rPr>
          <w:rFonts w:ascii="Liberation Sans" w:hAnsi="Liberation Sans"/>
          <w:b/>
          <w:i w:val="0"/>
          <w:color w:val="0A7DA0"/>
          <w:sz w:val="26"/>
        </w:rPr>
        <w:t>8.1. Création et administration des comptes</w:t>
      </w:r>
    </w:p>
    <w:p>
      <w:pPr>
        <w:keepLines/>
      </w:pPr>
      <w:r>
        <w:rPr>
          <w:rFonts w:ascii="Liberation Sans" w:hAnsi="Liberation Sans"/>
          <w:b w:val="0"/>
          <w:i w:val="0"/>
          <w:sz w:val="18"/>
        </w:rPr>
        <w:t>Le Client désigne les Utilisateurs autorisés et veille à l’exactitude des informations associées à leurs comptes. Chaque utilisateur conserve la confidentialité de ses identifiants et informe sans délai le Prestataire en cas de suspicion d’accès non autorisé.</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vos règles : SSO, MFA, comptes nominatifs, rôles administrateurs.</w:t>
            </w:r>
          </w:p>
        </w:tc>
      </w:tr>
    </w:tbl>
    <w:p>
      <w:pPr>
        <w:pStyle w:val="Heading2"/>
      </w:pPr>
      <w:r>
        <w:rPr>
          <w:rFonts w:ascii="Liberation Sans" w:hAnsi="Liberation Sans"/>
          <w:b/>
          <w:i w:val="0"/>
          <w:color w:val="0A7DA0"/>
          <w:sz w:val="26"/>
        </w:rPr>
        <w:t>8.2. Usage autorisé</w:t>
      </w:r>
    </w:p>
    <w:p>
      <w:pPr>
        <w:keepLines/>
      </w:pPr>
      <w:r>
        <w:rPr>
          <w:rFonts w:ascii="Liberation Sans" w:hAnsi="Liberation Sans"/>
          <w:b w:val="0"/>
          <w:i w:val="0"/>
          <w:sz w:val="18"/>
        </w:rPr>
        <w:t>Le Service est utilisé uniquement pour les besoins professionnels du Client, dans la limite des droits souscrits. Le Client ne doit pas contourner les mécanismes de sécurité, perturber le fonctionnement du Service, tenter d’accéder à des zones non autorisées, diffuser du code malveillant ou utiliser le Service pour une activité illicite.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les interdictions propres à votre produit.</w:t>
            </w:r>
          </w:p>
        </w:tc>
      </w:tr>
    </w:tbl>
    <w:p>
      <w:pPr>
        <w:pStyle w:val="Heading2"/>
      </w:pPr>
      <w:r>
        <w:rPr>
          <w:rFonts w:ascii="Liberation Sans" w:hAnsi="Liberation Sans"/>
          <w:b/>
          <w:i w:val="0"/>
          <w:color w:val="0A7DA0"/>
          <w:sz w:val="26"/>
        </w:rPr>
        <w:t>8.3. Restrictions techniques et licences</w:t>
      </w:r>
    </w:p>
    <w:p>
      <w:pPr>
        <w:keepLines/>
      </w:pPr>
      <w:r>
        <w:rPr>
          <w:rFonts w:ascii="Liberation Sans" w:hAnsi="Liberation Sans"/>
          <w:b w:val="0"/>
          <w:i w:val="0"/>
          <w:sz w:val="18"/>
        </w:rPr>
        <w:t>Sauf autorisation expresse, le Client ne peut pas copier, revendre, sous-licencier, décompiler ou tenter d’extraire le code source du Service au-delà de ce qui serait expressément permis par la loi. Les droits concédés sont limités à la durée du contrat et au périmètre de l’offre souscrite.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Vérifiez si vous autorisez l’accès de filiales, prestataires ou utilisateurs externes.</w:t>
            </w:r>
          </w:p>
        </w:tc>
      </w:tr>
    </w:tbl>
    <w:p>
      <w:pPr>
        <w:pStyle w:val="Heading2"/>
      </w:pPr>
      <w:r>
        <w:rPr>
          <w:rFonts w:ascii="Liberation Sans" w:hAnsi="Liberation Sans"/>
          <w:b/>
          <w:i w:val="0"/>
          <w:color w:val="0A7DA0"/>
          <w:sz w:val="26"/>
        </w:rPr>
        <w:t>8.4. Suspension</w:t>
      </w:r>
    </w:p>
    <w:p>
      <w:pPr>
        <w:keepLines/>
      </w:pPr>
      <w:r>
        <w:rPr>
          <w:rFonts w:ascii="Liberation Sans" w:hAnsi="Liberation Sans"/>
          <w:b w:val="0"/>
          <w:i w:val="0"/>
          <w:sz w:val="18"/>
        </w:rPr>
        <w:t>Le Prestataire peut suspendre temporairement un compte lorsque cela est raisonnablement nécessaire pour protéger la sécurité du Service, prévenir un usage manifestement abusif ou traiter un défaut de paiement significatif. Dans la mesure du possible, le Client est informé du motif et des conditions de rétablissement.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votre processus d’escalade et les cas d’urgence.</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Une suspension automatique sans information ni proportionnalité mérite une revue approfondie.</w:t>
      </w:r>
    </w:p>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9. Propriété intellectuelle et contenus</w:t>
            </w:r>
          </w:p>
          <w:p>
            <w:pPr>
              <w:spacing w:before="40" w:after="0"/>
            </w:pPr>
            <w:r>
              <w:rPr>
                <w:rFonts w:ascii="Liberation Sans" w:hAnsi="Liberation Sans"/>
                <w:b w:val="0"/>
                <w:i w:val="0"/>
                <w:color w:val="DDF5FB"/>
                <w:sz w:val="17"/>
              </w:rPr>
              <w:t>Distinguer clairement ce qui appartient à chaque partie.</w:t>
            </w:r>
          </w:p>
        </w:tc>
      </w:tr>
    </w:tbl>
    <w:p>
      <w:pPr>
        <w:spacing w:after="0"/>
      </w:pPr>
    </w:p>
    <w:p>
      <w:pPr>
        <w:pStyle w:val="Heading2"/>
      </w:pPr>
      <w:r>
        <w:rPr>
          <w:rFonts w:ascii="Liberation Sans" w:hAnsi="Liberation Sans"/>
          <w:b/>
          <w:i w:val="0"/>
          <w:color w:val="0A7DA0"/>
          <w:sz w:val="26"/>
        </w:rPr>
        <w:t>9.1. Propriété du Service</w:t>
      </w:r>
    </w:p>
    <w:p>
      <w:pPr>
        <w:keepLines/>
      </w:pPr>
      <w:r>
        <w:rPr>
          <w:rFonts w:ascii="Liberation Sans" w:hAnsi="Liberation Sans"/>
          <w:b w:val="0"/>
          <w:i w:val="0"/>
          <w:sz w:val="18"/>
        </w:rPr>
        <w:t>Le Prestataire conserve les droits de propriété intellectuelle portant sur le Service, son code, ses interfaces, sa documentation, ses méthodes, ses marques et ses composants préexistants. Aucun transfert de propriété n’intervient du seul fait de la souscription.</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Listez vos actifs : logiciel, modèles, bibliothèque, marque, contenus, documentation.</w:t>
            </w:r>
          </w:p>
        </w:tc>
      </w:tr>
    </w:tbl>
    <w:p>
      <w:pPr>
        <w:pStyle w:val="Heading2"/>
      </w:pPr>
      <w:r>
        <w:rPr>
          <w:rFonts w:ascii="Liberation Sans" w:hAnsi="Liberation Sans"/>
          <w:b/>
          <w:i w:val="0"/>
          <w:color w:val="0A7DA0"/>
          <w:sz w:val="26"/>
        </w:rPr>
        <w:t>9.2. Droits accordés au Client</w:t>
      </w:r>
    </w:p>
    <w:p>
      <w:pPr>
        <w:keepLines/>
      </w:pPr>
      <w:r>
        <w:rPr>
          <w:rFonts w:ascii="Liberation Sans" w:hAnsi="Liberation Sans"/>
          <w:b w:val="0"/>
          <w:i w:val="0"/>
          <w:sz w:val="18"/>
        </w:rPr>
        <w:t>Pendant la durée du contrat, le Client bénéficie d’un droit personnel, non exclusif et non transférable d’utiliser le Service pour ses besoins internes, dans les limites de l’offre souscrite et des présentes Conditions.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Adaptez la licence : territoire, utilisateurs, sociétés affiliées, finalité.</w:t>
            </w:r>
          </w:p>
        </w:tc>
      </w:tr>
    </w:tbl>
    <w:p>
      <w:pPr>
        <w:pStyle w:val="Heading2"/>
      </w:pPr>
      <w:r>
        <w:rPr>
          <w:rFonts w:ascii="Liberation Sans" w:hAnsi="Liberation Sans"/>
          <w:b/>
          <w:i w:val="0"/>
          <w:color w:val="0A7DA0"/>
          <w:sz w:val="26"/>
        </w:rPr>
        <w:t>9.3. Données et contenus du Client</w:t>
      </w:r>
    </w:p>
    <w:p>
      <w:pPr>
        <w:keepLines/>
      </w:pPr>
      <w:r>
        <w:rPr>
          <w:rFonts w:ascii="Liberation Sans" w:hAnsi="Liberation Sans"/>
          <w:b w:val="0"/>
          <w:i w:val="0"/>
          <w:sz w:val="18"/>
        </w:rPr>
        <w:t>Le Client conserve les droits qu’il détient sur ses Données Client. Il autorise le Prestataire à les héberger, traiter et reproduire dans la mesure nécessaire à la fourniture, la sécurisation, la sauvegarde et l’amélioration du Service, sous réserve des règles applicables et des engagements contractuels relatifs aux données.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les finalités et limitations correspondant à votre architecture réelle.</w:t>
            </w:r>
          </w:p>
        </w:tc>
      </w:tr>
    </w:tbl>
    <w:p>
      <w:pPr>
        <w:pStyle w:val="Heading2"/>
      </w:pPr>
      <w:r>
        <w:rPr>
          <w:rFonts w:ascii="Liberation Sans" w:hAnsi="Liberation Sans"/>
          <w:b/>
          <w:i w:val="0"/>
          <w:color w:val="0A7DA0"/>
          <w:sz w:val="26"/>
        </w:rPr>
        <w:t>9.4. Feedback</w:t>
      </w:r>
    </w:p>
    <w:p>
      <w:pPr>
        <w:keepLines/>
      </w:pPr>
      <w:r>
        <w:rPr>
          <w:rFonts w:ascii="Liberation Sans" w:hAnsi="Liberation Sans"/>
          <w:b w:val="0"/>
          <w:i w:val="0"/>
          <w:sz w:val="18"/>
        </w:rPr>
        <w:t>Le Client peut transmettre des suggestions d’amélioration. Sauf accord contraire, ces suggestions peuvent être prises en compte par le Prestataire sans créer une obligation de mise en œuvre ni transférer au Prestataire les données confidentielles ou actifs du Client.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Supprimez cette clause si vous ne collectez pas de feedback produit.</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10. Confidentialité, données et sous-traitants</w:t>
            </w:r>
          </w:p>
          <w:p>
            <w:pPr>
              <w:spacing w:before="40" w:after="0"/>
            </w:pPr>
            <w:r>
              <w:rPr>
                <w:rFonts w:ascii="Liberation Sans" w:hAnsi="Liberation Sans"/>
                <w:b w:val="0"/>
                <w:i w:val="0"/>
                <w:color w:val="DDF5FB"/>
                <w:sz w:val="17"/>
              </w:rPr>
              <w:t>Bloc à relier à vos politiques et accords de traitement des données.</w:t>
            </w:r>
          </w:p>
        </w:tc>
      </w:tr>
    </w:tbl>
    <w:p>
      <w:pPr>
        <w:spacing w:after="0"/>
      </w:pPr>
    </w:p>
    <w:p>
      <w:pPr>
        <w:pStyle w:val="Heading2"/>
      </w:pPr>
      <w:r>
        <w:rPr>
          <w:rFonts w:ascii="Liberation Sans" w:hAnsi="Liberation Sans"/>
          <w:b/>
          <w:i w:val="0"/>
          <w:color w:val="0A7DA0"/>
          <w:sz w:val="26"/>
        </w:rPr>
        <w:t>10.1. Confidentialité</w:t>
      </w:r>
    </w:p>
    <w:p>
      <w:pPr>
        <w:keepLines/>
      </w:pPr>
      <w:r>
        <w:rPr>
          <w:rFonts w:ascii="Liberation Sans" w:hAnsi="Liberation Sans"/>
          <w:b w:val="0"/>
          <w:i w:val="0"/>
          <w:sz w:val="18"/>
        </w:rPr>
        <w:t>Chaque partie s’engage à protéger les informations non publiques reçues de l’autre partie et à ne les utiliser que pour l’exécution de la relation contractuelle. L’accès est limité aux personnes qui en ont besoin et qui sont soumises à des obligations de confidentialité appropriées.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Définissez la durée de confidentialité et les exceptions usuelles si nécessaire.</w:t>
            </w:r>
          </w:p>
        </w:tc>
      </w:tr>
    </w:tbl>
    <w:p>
      <w:pPr>
        <w:pStyle w:val="Heading2"/>
      </w:pPr>
      <w:r>
        <w:rPr>
          <w:rFonts w:ascii="Liberation Sans" w:hAnsi="Liberation Sans"/>
          <w:b/>
          <w:i w:val="0"/>
          <w:color w:val="0A7DA0"/>
          <w:sz w:val="26"/>
        </w:rPr>
        <w:t>10.2. Données personnelles</w:t>
      </w:r>
    </w:p>
    <w:p>
      <w:pPr>
        <w:keepLines/>
      </w:pPr>
      <w:r>
        <w:rPr>
          <w:rFonts w:ascii="Liberation Sans" w:hAnsi="Liberation Sans"/>
          <w:b w:val="0"/>
          <w:i w:val="0"/>
          <w:sz w:val="18"/>
        </w:rPr>
        <w:t>Lorsque le Service implique le traitement de données personnelles, les rôles respectifs des parties et les obligations associées sont définis dans les documents dédiés, notamment la politique de confidentialité et, lorsque nécessaire, un accord de traitement des données ou document équivalent.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Insérez le lien ou la référence à votre Privacy Policy / DPA.</w:t>
            </w:r>
          </w:p>
        </w:tc>
      </w:tr>
    </w:tbl>
    <w:p>
      <w:pPr>
        <w:pStyle w:val="Heading2"/>
      </w:pPr>
      <w:r>
        <w:rPr>
          <w:rFonts w:ascii="Liberation Sans" w:hAnsi="Liberation Sans"/>
          <w:b/>
          <w:i w:val="0"/>
          <w:color w:val="0A7DA0"/>
          <w:sz w:val="26"/>
        </w:rPr>
        <w:t>10.3. Sous-traitants et services tiers</w:t>
      </w:r>
    </w:p>
    <w:p>
      <w:pPr>
        <w:keepLines/>
      </w:pPr>
      <w:r>
        <w:rPr>
          <w:rFonts w:ascii="Liberation Sans" w:hAnsi="Liberation Sans"/>
          <w:b w:val="0"/>
          <w:i w:val="0"/>
          <w:sz w:val="18"/>
        </w:rPr>
        <w:t>Le Prestataire peut recourir à des sous-traitants techniques pour l’hébergement, la messagerie, le support, le paiement ou d’autres fonctions nécessaires. Il demeure responsable de l’organisation de ses prestations conformément à ses engagements contractuels, sous réserve des limites convenues.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Listez les catégories ou fournisseurs selon votre politique de transparence.</w:t>
            </w:r>
          </w:p>
        </w:tc>
      </w:tr>
    </w:tbl>
    <w:p>
      <w:pPr>
        <w:pStyle w:val="Heading2"/>
      </w:pPr>
      <w:r>
        <w:rPr>
          <w:rFonts w:ascii="Liberation Sans" w:hAnsi="Liberation Sans"/>
          <w:b/>
          <w:i w:val="0"/>
          <w:color w:val="0A7DA0"/>
          <w:sz w:val="26"/>
        </w:rPr>
        <w:t>10.4. Export et suppression</w:t>
      </w:r>
    </w:p>
    <w:p>
      <w:pPr>
        <w:keepLines/>
      </w:pPr>
      <w:r>
        <w:rPr>
          <w:rFonts w:ascii="Liberation Sans" w:hAnsi="Liberation Sans"/>
          <w:b w:val="0"/>
          <w:i w:val="0"/>
          <w:sz w:val="18"/>
        </w:rPr>
        <w:t>À la fin du contrat, les modalités d’export, de conservation temporaire et de suppression des Données Client sont celles prévues dans l’offre, la documentation ou l’accord de traitement applicable. Le Client est invité à effectuer les exports nécessaires avant l’expiration du délai prévu.</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période d’export = [30 jours] ; suppression = [90 jours / autre].</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11. Disponibilité, support, maintenance et évolution</w:t>
            </w:r>
          </w:p>
          <w:p>
            <w:pPr>
              <w:spacing w:before="40" w:after="0"/>
            </w:pPr>
            <w:r>
              <w:rPr>
                <w:rFonts w:ascii="Liberation Sans" w:hAnsi="Liberation Sans"/>
                <w:b w:val="0"/>
                <w:i w:val="0"/>
                <w:color w:val="DDF5FB"/>
                <w:sz w:val="17"/>
              </w:rPr>
              <w:t>Transformer les promesses commerciales en engagements mesurables.</w:t>
            </w:r>
          </w:p>
        </w:tc>
      </w:tr>
    </w:tbl>
    <w:p>
      <w:pPr>
        <w:spacing w:after="0"/>
      </w:pPr>
    </w:p>
    <w:p>
      <w:pPr>
        <w:pStyle w:val="Heading2"/>
      </w:pPr>
      <w:r>
        <w:rPr>
          <w:rFonts w:ascii="Liberation Sans" w:hAnsi="Liberation Sans"/>
          <w:b/>
          <w:i w:val="0"/>
          <w:color w:val="0A7DA0"/>
          <w:sz w:val="26"/>
        </w:rPr>
        <w:t>11.1. Disponibilité du Service</w:t>
      </w:r>
    </w:p>
    <w:p>
      <w:pPr>
        <w:keepLines/>
      </w:pPr>
      <w:r>
        <w:rPr>
          <w:rFonts w:ascii="Liberation Sans" w:hAnsi="Liberation Sans"/>
          <w:b w:val="0"/>
          <w:i w:val="0"/>
          <w:sz w:val="18"/>
        </w:rPr>
        <w:t>Le Prestataire met en œuvre des moyens raisonnables pour assurer la disponibilité du Service. Sauf SLA spécifique, les interruptions nécessaires à la maintenance, à la sécurité, à l’évolution technique ou résultant de circonstances extérieures ne constituent pas automatiquement un manquement contractuel.</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Si vous avez un SLA, remplacez cette formulation par les niveaux de service contractuels.</w:t>
            </w:r>
          </w:p>
        </w:tc>
      </w:tr>
    </w:tbl>
    <w:p>
      <w:pPr>
        <w:pStyle w:val="Heading2"/>
      </w:pPr>
      <w:r>
        <w:rPr>
          <w:rFonts w:ascii="Liberation Sans" w:hAnsi="Liberation Sans"/>
          <w:b/>
          <w:i w:val="0"/>
          <w:color w:val="0A7DA0"/>
          <w:sz w:val="26"/>
        </w:rPr>
        <w:t>11.2. Maintenance</w:t>
      </w:r>
    </w:p>
    <w:p>
      <w:pPr>
        <w:keepLines/>
      </w:pPr>
      <w:r>
        <w:rPr>
          <w:rFonts w:ascii="Liberation Sans" w:hAnsi="Liberation Sans"/>
          <w:b w:val="0"/>
          <w:i w:val="0"/>
          <w:sz w:val="18"/>
        </w:rPr>
        <w:t>Des opérations de maintenance peuvent être réalisées pour assurer la sécurité, la stabilité et l’évolution du Service. Lorsque cela est possible, les maintenances planifiées ayant un impact significatif sont annoncées à l’avance.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Indiquez vos fenêtres de maintenance et votre canal d’information.</w:t>
            </w:r>
          </w:p>
        </w:tc>
      </w:tr>
    </w:tbl>
    <w:p>
      <w:pPr>
        <w:pStyle w:val="Heading2"/>
      </w:pPr>
      <w:r>
        <w:rPr>
          <w:rFonts w:ascii="Liberation Sans" w:hAnsi="Liberation Sans"/>
          <w:b/>
          <w:i w:val="0"/>
          <w:color w:val="0A7DA0"/>
          <w:sz w:val="26"/>
        </w:rPr>
        <w:t>11.3. Support</w:t>
      </w:r>
    </w:p>
    <w:p>
      <w:pPr>
        <w:keepLines/>
      </w:pPr>
      <w:r>
        <w:rPr>
          <w:rFonts w:ascii="Liberation Sans" w:hAnsi="Liberation Sans"/>
          <w:b w:val="0"/>
          <w:i w:val="0"/>
          <w:sz w:val="18"/>
        </w:rPr>
        <w:t>Le support standard est accessible par email ou portail du lundi au vendredi pendant les heures ouvrées définies dans l’offre. Les incidents sont qualifiés selon leur impact. Les offres premium peuvent prévoir des délais de prise en charge ou canaux supplémentaires.</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horaires, canaux, niveaux de sévérité, délais de réponse.</w:t>
            </w:r>
          </w:p>
        </w:tc>
      </w:tr>
    </w:tbl>
    <w:p>
      <w:pPr>
        <w:pStyle w:val="Heading2"/>
      </w:pPr>
      <w:r>
        <w:rPr>
          <w:rFonts w:ascii="Liberation Sans" w:hAnsi="Liberation Sans"/>
          <w:b/>
          <w:i w:val="0"/>
          <w:color w:val="0A7DA0"/>
          <w:sz w:val="26"/>
        </w:rPr>
        <w:t>11.4. Évolutions fonctionnelles</w:t>
      </w:r>
    </w:p>
    <w:p>
      <w:pPr>
        <w:keepLines/>
      </w:pPr>
      <w:r>
        <w:rPr>
          <w:rFonts w:ascii="Liberation Sans" w:hAnsi="Liberation Sans"/>
          <w:b w:val="0"/>
          <w:i w:val="0"/>
          <w:sz w:val="18"/>
        </w:rPr>
        <w:t>Le Service peut évoluer afin d’améliorer la sécurité, l’ergonomie ou les fonctionnalités. Le Prestataire veille à ne pas supprimer sans motif un élément essentiel de l’offre en cours de période contractuelle lorsqu’une telle suppression modifierait substantiellement l’équilibre de la prestation.</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Définissez les fonctionnalités essentielles si votre offre dépend d’engagements précis.</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12. Garanties, responsabilité et assurance</w:t>
            </w:r>
          </w:p>
          <w:p>
            <w:pPr>
              <w:spacing w:before="40" w:after="0"/>
            </w:pPr>
            <w:r>
              <w:rPr>
                <w:rFonts w:ascii="Liberation Sans" w:hAnsi="Liberation Sans"/>
                <w:b w:val="0"/>
                <w:i w:val="0"/>
                <w:color w:val="DDF5FB"/>
                <w:sz w:val="17"/>
              </w:rPr>
              <w:t>Clauses sensibles : conserver une rédaction proportionnée.</w:t>
            </w:r>
          </w:p>
        </w:tc>
      </w:tr>
    </w:tbl>
    <w:p>
      <w:pPr>
        <w:spacing w:after="0"/>
      </w:pPr>
    </w:p>
    <w:p>
      <w:pPr>
        <w:pStyle w:val="Heading2"/>
      </w:pPr>
      <w:r>
        <w:rPr>
          <w:rFonts w:ascii="Liberation Sans" w:hAnsi="Liberation Sans"/>
          <w:b/>
          <w:i w:val="0"/>
          <w:color w:val="0A7DA0"/>
          <w:sz w:val="26"/>
        </w:rPr>
        <w:t>12.1. Engagement de moyens</w:t>
      </w:r>
    </w:p>
    <w:p>
      <w:pPr>
        <w:keepLines/>
      </w:pPr>
      <w:r>
        <w:rPr>
          <w:rFonts w:ascii="Liberation Sans" w:hAnsi="Liberation Sans"/>
          <w:b w:val="0"/>
          <w:i w:val="0"/>
          <w:sz w:val="18"/>
        </w:rPr>
        <w:t>Le Prestataire exécute ses obligations avec le soin raisonnablement attendu d’un professionnel compétent. Le Client reste responsable de ses choix métiers, de la configuration de ses processus internes, de la qualité des données qu’il fournit et de l’utilisation des résultats produits avec le Service.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Adaptez selon que vous fournissez un conseil, un résultat garanti ou un simple outil.</w:t>
            </w:r>
          </w:p>
        </w:tc>
      </w:tr>
    </w:tbl>
    <w:p>
      <w:pPr>
        <w:pStyle w:val="Heading2"/>
      </w:pPr>
      <w:r>
        <w:rPr>
          <w:rFonts w:ascii="Liberation Sans" w:hAnsi="Liberation Sans"/>
          <w:b/>
          <w:i w:val="0"/>
          <w:color w:val="0A7DA0"/>
          <w:sz w:val="26"/>
        </w:rPr>
        <w:t>12.2. Exclusions de garantie</w:t>
      </w:r>
    </w:p>
    <w:p>
      <w:pPr>
        <w:keepLines/>
      </w:pPr>
      <w:r>
        <w:rPr>
          <w:rFonts w:ascii="Liberation Sans" w:hAnsi="Liberation Sans"/>
          <w:b w:val="0"/>
          <w:i w:val="0"/>
          <w:sz w:val="18"/>
        </w:rPr>
        <w:t>Le Prestataire ne garantit pas que le Service répondra à tous les besoins particuliers non décrits dans la Commande, ni qu’il fonctionnera sans aucune interruption. Les limites du Service connues et documentées sont prises en compte dans l’évaluation de la conformité de la prestation.</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Supprimez toute exclusion incompatible avec vos engagements commerciaux ou le droit applicable.</w:t>
            </w:r>
          </w:p>
        </w:tc>
      </w:tr>
    </w:tbl>
    <w:p>
      <w:pPr>
        <w:pStyle w:val="Heading2"/>
      </w:pPr>
      <w:r>
        <w:rPr>
          <w:rFonts w:ascii="Liberation Sans" w:hAnsi="Liberation Sans"/>
          <w:b/>
          <w:i w:val="0"/>
          <w:color w:val="0A7DA0"/>
          <w:sz w:val="26"/>
        </w:rPr>
        <w:t>12.3. Limitation de responsabilité</w:t>
      </w:r>
    </w:p>
    <w:p>
      <w:pPr>
        <w:keepLines/>
      </w:pPr>
      <w:r>
        <w:rPr>
          <w:rFonts w:ascii="Liberation Sans" w:hAnsi="Liberation Sans"/>
          <w:b w:val="0"/>
          <w:i w:val="0"/>
          <w:sz w:val="18"/>
        </w:rPr>
        <w:t>Sous réserve des responsabilités qui ne peuvent légalement être exclues ou limitées, la responsabilité de chaque partie peut être plafonnée selon le mécanisme prévu dans la Commande. Dans cet exemple B2B, le plafond proposé est égal aux sommes payées au titre des douze derniers mois précédant l’événement générateur, sauf faute grave, atteinte à la confidentialité, violation des droits de propriété intellectuelle ou autre exception expressément convenue.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plafond = [12 mois de redevances / montant fixe / autre] ; exceptions = [liste].</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Faites relire cette clause : validité, exclusions et plafond dépendent du pays, du contrat et du type de dommage.</w:t>
      </w:r>
    </w:p>
    <w:p>
      <w:pPr>
        <w:pStyle w:val="Heading2"/>
      </w:pPr>
      <w:r>
        <w:rPr>
          <w:rFonts w:ascii="Liberation Sans" w:hAnsi="Liberation Sans"/>
          <w:b/>
          <w:i w:val="0"/>
          <w:color w:val="0A7DA0"/>
          <w:sz w:val="26"/>
        </w:rPr>
        <w:t>12.4. Dommages indirects</w:t>
      </w:r>
    </w:p>
    <w:p>
      <w:pPr>
        <w:keepLines/>
      </w:pPr>
      <w:r>
        <w:rPr>
          <w:rFonts w:ascii="Liberation Sans" w:hAnsi="Liberation Sans"/>
          <w:b w:val="0"/>
          <w:i w:val="0"/>
          <w:sz w:val="18"/>
        </w:rPr>
        <w:t>Dans la mesure permise par le cadre applicable et sauf stipulation contraire, aucune partie ne répond des pertes indirectes ou imprévisibles qui ne constituent pas la conséquence directe du manquement invoqué. Cette clause ne doit pas être interprétée comme excluant une responsabilité qui ne peut légalement l’être.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Définissez si vous souhaitez citer des catégories de pertes ; évitez une liste trop large sans validation.</w:t>
            </w:r>
          </w:p>
        </w:tc>
      </w:tr>
    </w:tbl>
    <w:p>
      <w:pPr>
        <w:pStyle w:val="Heading2"/>
      </w:pPr>
      <w:r>
        <w:rPr>
          <w:rFonts w:ascii="Liberation Sans" w:hAnsi="Liberation Sans"/>
          <w:b/>
          <w:i w:val="0"/>
          <w:color w:val="0A7DA0"/>
          <w:sz w:val="26"/>
        </w:rPr>
        <w:t>12.5. Assurance</w:t>
      </w:r>
    </w:p>
    <w:p>
      <w:pPr>
        <w:keepLines/>
      </w:pPr>
      <w:r>
        <w:rPr>
          <w:rFonts w:ascii="Liberation Sans" w:hAnsi="Liberation Sans"/>
          <w:b w:val="0"/>
          <w:i w:val="0"/>
          <w:sz w:val="18"/>
        </w:rPr>
        <w:t>Chaque partie maintient, lorsque son activité le justifie, une couverture d’assurance raisonnablement adaptée aux risques qu’elle supporte. Sur demande justifiée, une attestation peut être fournie selon les usages du secteur.</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RC Pro, cyber, décennale ou autres assurances pertinentes.</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13. Réclamations, force majeure, cession et droit applicable</w:t>
            </w:r>
          </w:p>
          <w:p>
            <w:pPr>
              <w:spacing w:before="40" w:after="0"/>
            </w:pPr>
            <w:r>
              <w:rPr>
                <w:rFonts w:ascii="Liberation Sans" w:hAnsi="Liberation Sans"/>
                <w:b w:val="0"/>
                <w:i w:val="0"/>
                <w:color w:val="DDF5FB"/>
                <w:sz w:val="17"/>
              </w:rPr>
              <w:t>Finaliser le contrat sans oublier les clauses de gouvernance.</w:t>
            </w:r>
          </w:p>
        </w:tc>
      </w:tr>
    </w:tbl>
    <w:p>
      <w:pPr>
        <w:spacing w:after="0"/>
      </w:pPr>
    </w:p>
    <w:p>
      <w:pPr>
        <w:pStyle w:val="Heading2"/>
      </w:pPr>
      <w:r>
        <w:rPr>
          <w:rFonts w:ascii="Liberation Sans" w:hAnsi="Liberation Sans"/>
          <w:b/>
          <w:i w:val="0"/>
          <w:color w:val="0A7DA0"/>
          <w:sz w:val="26"/>
        </w:rPr>
        <w:t>13.1. Réclamations</w:t>
      </w:r>
    </w:p>
    <w:p>
      <w:pPr>
        <w:keepLines/>
      </w:pPr>
      <w:r>
        <w:rPr>
          <w:rFonts w:ascii="Liberation Sans" w:hAnsi="Liberation Sans"/>
          <w:b w:val="0"/>
          <w:i w:val="0"/>
          <w:sz w:val="18"/>
        </w:rPr>
        <w:t>Toute réclamation est adressée en priorité au point de contact contractuel ou au support afin de permettre un examen rapide. La partie qui reçoit la réclamation fournit, dans un délai raisonnable, les informations nécessaires au traitement du dossier.</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Ajoutez l’adresse email, le portail ou l’interlocuteur responsable.</w:t>
            </w:r>
          </w:p>
        </w:tc>
      </w:tr>
    </w:tbl>
    <w:p>
      <w:pPr>
        <w:pStyle w:val="Heading2"/>
      </w:pPr>
      <w:r>
        <w:rPr>
          <w:rFonts w:ascii="Liberation Sans" w:hAnsi="Liberation Sans"/>
          <w:b/>
          <w:i w:val="0"/>
          <w:color w:val="0A7DA0"/>
          <w:sz w:val="26"/>
        </w:rPr>
        <w:t>13.2. Force majeure</w:t>
      </w:r>
    </w:p>
    <w:p>
      <w:pPr>
        <w:keepLines/>
      </w:pPr>
      <w:r>
        <w:rPr>
          <w:rFonts w:ascii="Liberation Sans" w:hAnsi="Liberation Sans"/>
          <w:b w:val="0"/>
          <w:i w:val="0"/>
          <w:sz w:val="18"/>
        </w:rPr>
        <w:t>Aucune partie n’est responsable d’un retard directement causé par un événement échappant raisonnablement à son contrôle, dans la mesure où elle en limite les conséquences et informe l’autre partie. Si l’empêchement se prolonge au-delà de la durée définie, les parties examinent la poursuite ou la résiliation du contrat.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durée déclenchant une possibilité de résiliation = [30/60 jours].</w:t>
            </w:r>
          </w:p>
        </w:tc>
      </w:tr>
    </w:tbl>
    <w:p>
      <w:pPr>
        <w:pStyle w:val="Heading2"/>
      </w:pPr>
      <w:r>
        <w:rPr>
          <w:rFonts w:ascii="Liberation Sans" w:hAnsi="Liberation Sans"/>
          <w:b/>
          <w:i w:val="0"/>
          <w:color w:val="0A7DA0"/>
          <w:sz w:val="26"/>
        </w:rPr>
        <w:t>13.3. Cession et sous-traitance</w:t>
      </w:r>
    </w:p>
    <w:p>
      <w:pPr>
        <w:keepLines/>
      </w:pPr>
      <w:r>
        <w:rPr>
          <w:rFonts w:ascii="Liberation Sans" w:hAnsi="Liberation Sans"/>
          <w:b w:val="0"/>
          <w:i w:val="0"/>
          <w:sz w:val="18"/>
        </w:rPr>
        <w:t>Le Client ne cède pas le contrat à un tiers sans accord préalable lorsqu’une telle cession modifierait l’identité ou le risque du cocontractant. Le Prestataire peut recourir à des sous-traitants dans les conditions prévues aux présentes, tout en restant responsable de l’organisation des prestations qui lui incombent.</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Adaptez pour les restructurations, sociétés affiliées et cessions d’activité.</w:t>
            </w:r>
          </w:p>
        </w:tc>
      </w:tr>
    </w:tbl>
    <w:p>
      <w:pPr>
        <w:pStyle w:val="Heading2"/>
      </w:pPr>
      <w:r>
        <w:rPr>
          <w:rFonts w:ascii="Liberation Sans" w:hAnsi="Liberation Sans"/>
          <w:b/>
          <w:i w:val="0"/>
          <w:color w:val="0A7DA0"/>
          <w:sz w:val="26"/>
        </w:rPr>
        <w:t>13.4. Notifications</w:t>
      </w:r>
    </w:p>
    <w:p>
      <w:pPr>
        <w:keepLines/>
      </w:pPr>
      <w:r>
        <w:rPr>
          <w:rFonts w:ascii="Liberation Sans" w:hAnsi="Liberation Sans"/>
          <w:b w:val="0"/>
          <w:i w:val="0"/>
          <w:sz w:val="18"/>
        </w:rPr>
        <w:t>Les notifications contractuelles sont envoyées aux coordonnées indiquées dans la Commande ou dans l’espace d’administration. Chaque partie maintient ses coordonnées à jour. Les notifications ayant un effet juridique particulier peuvent nécessiter un mode de transmission spécifique.</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Définissez email, lettre recommandée, portail ou signature électronique.</w:t>
            </w:r>
          </w:p>
        </w:tc>
      </w:tr>
    </w:tbl>
    <w:p>
      <w:pPr>
        <w:pStyle w:val="Heading2"/>
      </w:pPr>
      <w:r>
        <w:rPr>
          <w:rFonts w:ascii="Liberation Sans" w:hAnsi="Liberation Sans"/>
          <w:b/>
          <w:i w:val="0"/>
          <w:color w:val="0A7DA0"/>
          <w:sz w:val="26"/>
        </w:rPr>
        <w:t>13.5. Droit applicable et juridiction</w:t>
      </w:r>
    </w:p>
    <w:p>
      <w:pPr>
        <w:keepLines/>
      </w:pPr>
      <w:r>
        <w:rPr>
          <w:rFonts w:ascii="Liberation Sans" w:hAnsi="Liberation Sans"/>
          <w:b w:val="0"/>
          <w:i w:val="0"/>
          <w:sz w:val="18"/>
        </w:rPr>
        <w:t>Dans cet exemple B2B, les parties conviennent que le contrat est régi par le droit français et que tout différend non résolu amiablement relève de la juridiction compétente déterminée conformément aux règles applicables. Une clause attributive de juridiction spécifique ne doit être ajoutée qu’après vérification de sa validité dans le contexte concerné.</w:t>
      </w:r>
    </w:p>
    <w:tbl>
      <w:tblPr>
        <w:tblW w:type="auto" w:w="0"/>
        <w:jc w:val="center"/>
        <w:tblLayout w:type="fixed"/>
        <w:tblLook w:firstColumn="1" w:firstRow="1" w:lastColumn="0" w:lastRow="0" w:noHBand="0" w:noVBand="1" w:val="04A0"/>
      </w:tblPr>
      <w:tblGrid>
        <w:gridCol w:w="9751"/>
      </w:tblGrid>
      <w:tr>
        <w:tc>
          <w:tcPr>
            <w:tcW w:type="dxa" w:w="10312"/>
            <w:shd w:fill="F2F5F7"/>
            <w:tcMar>
              <w:top w:w="100" w:type="dxa"/>
              <w:start w:w="150" w:type="dxa"/>
              <w:bottom w:w="100" w:type="dxa"/>
              <w:end w:w="150" w:type="dxa"/>
            </w:tcMar>
          </w:tcPr>
          <w:p>
            <w:r>
              <w:rPr>
                <w:rFonts w:ascii="Liberation Sans" w:hAnsi="Liberation Sans"/>
                <w:b/>
                <w:i w:val="0"/>
                <w:color w:val="D97706"/>
                <w:sz w:val="17"/>
              </w:rPr>
              <w:t xml:space="preserve">À PERSONNALISER : </w:t>
            </w:r>
            <w:r>
              <w:rPr>
                <w:rFonts w:ascii="Liberation Sans" w:hAnsi="Liberation Sans"/>
                <w:b w:val="0"/>
                <w:i w:val="0"/>
                <w:color w:val="344B58"/>
                <w:sz w:val="17"/>
              </w:rPr>
              <w:t>droit = [France / autre] ; juridiction = [à valider].</w:t>
            </w:r>
          </w:p>
        </w:tc>
      </w:tr>
    </w:tbl>
    <w:p>
      <w:pPr>
        <w:ind w:left="227"/>
      </w:pPr>
      <w:r>
        <w:rPr>
          <w:rFonts w:ascii="Liberation Sans" w:hAnsi="Liberation Sans"/>
          <w:b/>
          <w:i w:val="0"/>
          <w:color w:val="16865C"/>
          <w:sz w:val="16"/>
        </w:rPr>
        <w:t xml:space="preserve">Point de contrôle : </w:t>
      </w:r>
      <w:r>
        <w:rPr>
          <w:rFonts w:ascii="Liberation Sans" w:hAnsi="Liberation Sans"/>
          <w:b w:val="0"/>
          <w:i w:val="0"/>
          <w:color w:val="5E6E78"/>
          <w:sz w:val="16"/>
        </w:rPr>
        <w:t>Cette clause doit être adaptée au pays et au type de client. Ne transposez pas une clause B2B à un contrat consommateur sans revue.</w:t>
      </w:r>
    </w:p>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14. Annexe A – Purchase Order Terms</w:t>
            </w:r>
          </w:p>
          <w:p>
            <w:pPr>
              <w:spacing w:before="40" w:after="0"/>
            </w:pPr>
            <w:r>
              <w:rPr>
                <w:rFonts w:ascii="Liberation Sans" w:hAnsi="Liberation Sans"/>
                <w:b w:val="0"/>
                <w:i w:val="0"/>
                <w:color w:val="DDF5FB"/>
                <w:sz w:val="17"/>
              </w:rPr>
              <w:t>Bloc optionnel pour les relations acheteur-fournisseur.</w:t>
            </w:r>
          </w:p>
        </w:tc>
      </w:tr>
    </w:tbl>
    <w:p>
      <w:pPr>
        <w:spacing w:after="0"/>
      </w:pPr>
    </w:p>
    <w:tbl>
      <w:tblPr>
        <w:tblW w:type="auto" w:w="0"/>
        <w:jc w:val="center"/>
        <w:tblLayout w:type="fixed"/>
        <w:tblLook w:firstColumn="1" w:firstRow="1" w:lastColumn="0" w:lastRow="0" w:noHBand="0" w:noVBand="1" w:val="04A0"/>
      </w:tblPr>
      <w:tblGrid>
        <w:gridCol w:w="198"/>
        <w:gridCol w:w="9638"/>
      </w:tblGrid>
      <w:tr>
        <w:tc>
          <w:tcPr>
            <w:tcW w:type="dxa" w:w="5156"/>
            <w:shd w:fill="6655D9"/>
          </w:tcPr>
          <w:p>
            <w:r/>
          </w:p>
        </w:tc>
        <w:tc>
          <w:tcPr>
            <w:tcW w:type="dxa" w:w="5156"/>
            <w:shd w:fill="F2F0FF"/>
            <w:tcMar>
              <w:top w:w="110" w:type="dxa"/>
              <w:start w:w="160" w:type="dxa"/>
              <w:bottom w:w="110" w:type="dxa"/>
              <w:end w:w="160" w:type="dxa"/>
            </w:tcMar>
            <w:vAlign w:val="center"/>
          </w:tcPr>
          <w:p>
            <w:r>
              <w:rPr>
                <w:rFonts w:ascii="Liberation Sans" w:hAnsi="Liberation Sans"/>
                <w:b/>
                <w:i w:val="0"/>
                <w:color w:val="123247"/>
                <w:sz w:val="18"/>
              </w:rPr>
              <w:t>Quand utiliser cette annexe ?</w:t>
            </w:r>
          </w:p>
          <w:p>
            <w:pPr>
              <w:spacing w:after="0"/>
            </w:pPr>
            <w:r>
              <w:rPr>
                <w:rFonts w:ascii="Liberation Sans" w:hAnsi="Liberation Sans"/>
                <w:b w:val="0"/>
                <w:i w:val="0"/>
                <w:color w:val="1D2A33"/>
                <w:sz w:val="17"/>
              </w:rPr>
              <w:t>Conservez-la si votre activité émet ou reçoit des bons de commande structurés. Sinon, supprimez l’annexe sans affecter le document principal.</w:t>
            </w:r>
          </w:p>
        </w:tc>
      </w:tr>
    </w:tbl>
    <w:tbl>
      <w:tblPr>
        <w:tblW w:type="auto" w:w="0"/>
        <w:jc w:val="center"/>
        <w:tblLayout w:type="fixed"/>
        <w:tblLook w:firstColumn="1" w:firstRow="1" w:lastColumn="0" w:lastRow="0" w:noHBand="0" w:noVBand="1" w:val="04A0"/>
      </w:tblPr>
      <w:tblGrid>
        <w:gridCol w:w="2608"/>
        <w:gridCol w:w="7143"/>
      </w:tblGrid>
      <w:tr>
        <w:trPr>
          <w:tblHeader w:val="true"/>
        </w:trPr>
        <w:tc>
          <w:tcPr>
            <w:tcW w:type="dxa" w:w="5156"/>
            <w:shd w:fill="123247"/>
          </w:tcPr>
          <w:p>
            <w:r>
              <w:rPr>
                <w:rFonts w:ascii="Liberation Sans" w:hAnsi="Liberation Sans"/>
                <w:b/>
                <w:i w:val="0"/>
                <w:color w:val="FFFFFF"/>
                <w:sz w:val="16"/>
              </w:rPr>
              <w:t>Clause</w:t>
            </w:r>
          </w:p>
        </w:tc>
        <w:tc>
          <w:tcPr>
            <w:tcW w:type="dxa" w:w="5156"/>
            <w:shd w:fill="123247"/>
          </w:tcPr>
          <w:p>
            <w:r>
              <w:rPr>
                <w:rFonts w:ascii="Liberation Sans" w:hAnsi="Liberation Sans"/>
                <w:b/>
                <w:i w:val="0"/>
                <w:color w:val="FFFFFF"/>
                <w:sz w:val="16"/>
              </w:rPr>
              <w:t>Exemple de rédaction</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Acceptation du Purchase Order</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Le fournisseur accepte le bon de commande par confirmation écrite, début d’exécution ou livraison, selon le mécanisme prévu. Toute réserve doit être signalée avant exécution.</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Spécifications</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Les biens ou services respectent les références, plans, quantités, niveaux de qualité et documents joints au bon de commande.</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Prix</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Le prix indiqué est ferme pour la Commande concernée, sauf accord écrit. Les frais additionnels doivent être préalablement approuvés.</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Livraison</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La livraison intervient au lieu et à la date indiqués. Tout risque de retard significatif est signalé dès qu’il est identifié.</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Inspection et conformité</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L’acheteur peut vérifier les biens ou livrables dans un délai raisonnable. Une non-conformité documentée donne lieu à correction, remplacement ou autre mesure convenue.</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Facturation</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La facture mentionne le numéro de Purchase Order, la référence fournisseur, les quantités et les informations fiscales requises.</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Paiement</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Le délai de paiement applicable est celui indiqué dans le bon de commande ou le contrat-cadre, sous réserve des règles obligatoires.</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Garanties</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Le fournisseur garantit la conformité des biens ou services aux spécifications et signale toute restriction ou dépendance critique connue.</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Confidentialité</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Les informations techniques, commerciales ou financières reçues dans le cadre de la Commande restent confidentielles selon les engagements applicables.</w:t>
            </w:r>
          </w:p>
        </w:tc>
      </w:tr>
      <w:tr>
        <w:tc>
          <w:tcPr>
            <w:tcW w:type="dxa" w:w="2608"/>
            <w:tcMar>
              <w:top w:w="85" w:type="dxa"/>
              <w:start w:w="100" w:type="dxa"/>
              <w:bottom w:w="85" w:type="dxa"/>
              <w:end w:w="100" w:type="dxa"/>
            </w:tcMar>
            <w:shd w:fill="FAFCFD"/>
          </w:tcPr>
          <w:p>
            <w:r>
              <w:rPr>
                <w:rFonts w:ascii="Liberation Sans" w:hAnsi="Liberation Sans"/>
                <w:b/>
                <w:i w:val="0"/>
                <w:color w:val="0A7DA0"/>
                <w:sz w:val="16"/>
              </w:rPr>
              <w:t>Résiliation</w:t>
            </w:r>
          </w:p>
        </w:tc>
        <w:tc>
          <w:tcPr>
            <w:tcW w:type="dxa" w:w="7143"/>
            <w:tcMar>
              <w:top w:w="85" w:type="dxa"/>
              <w:start w:w="100" w:type="dxa"/>
              <w:bottom w:w="85" w:type="dxa"/>
              <w:end w:w="100" w:type="dxa"/>
            </w:tcMar>
            <w:shd w:fill="FAFCFD"/>
          </w:tcPr>
          <w:p>
            <w:r>
              <w:rPr>
                <w:rFonts w:ascii="Liberation Sans" w:hAnsi="Liberation Sans"/>
                <w:b w:val="0"/>
                <w:i w:val="0"/>
                <w:color w:val="1D2A33"/>
                <w:sz w:val="16"/>
              </w:rPr>
              <w:t>L’acheteur et le fournisseur disposent des droits de résiliation prévus par le contrat-cadre ou, à défaut, par les règles de la Commande et le droit applicable.</w:t>
            </w:r>
          </w:p>
        </w:tc>
      </w:tr>
    </w:tbl>
    <w:p>
      <w:r>
        <w:br w:type="page"/>
      </w:r>
    </w:p>
    <w:tbl>
      <w:tblPr>
        <w:tblW w:type="auto" w:w="0"/>
        <w:jc w:val="center"/>
        <w:tblLayout w:type="fixed"/>
        <w:tblLook w:firstColumn="1" w:firstRow="1" w:lastColumn="0" w:lastRow="0" w:noHBand="0" w:noVBand="1" w:val="04A0"/>
      </w:tblPr>
      <w:tblGrid>
        <w:gridCol w:w="9865"/>
      </w:tblGrid>
      <w:tr>
        <w:tc>
          <w:tcPr>
            <w:tcW w:type="dxa" w:w="10312"/>
            <w:shd w:fill="123247"/>
            <w:tcMar>
              <w:top w:w="130" w:type="dxa"/>
              <w:start w:w="180" w:type="dxa"/>
              <w:bottom w:w="130" w:type="dxa"/>
              <w:end w:w="180" w:type="dxa"/>
            </w:tcMar>
          </w:tcPr>
          <w:p>
            <w:pPr>
              <w:jc w:val="left"/>
            </w:pPr>
            <w:r>
              <w:rPr>
                <w:rFonts w:ascii="Liberation Sans" w:hAnsi="Liberation Sans"/>
                <w:b/>
                <w:i w:val="0"/>
                <w:color w:val="FFFFFF"/>
                <w:sz w:val="30"/>
              </w:rPr>
              <w:t>15. Annexe B – Checklist de validation avant publication</w:t>
            </w:r>
          </w:p>
          <w:p>
            <w:pPr>
              <w:spacing w:before="40" w:after="0"/>
            </w:pPr>
            <w:r>
              <w:rPr>
                <w:rFonts w:ascii="Liberation Sans" w:hAnsi="Liberation Sans"/>
                <w:b w:val="0"/>
                <w:i w:val="0"/>
                <w:color w:val="DDF5FB"/>
                <w:sz w:val="17"/>
              </w:rPr>
              <w:t>Dernière revue : opérationnelle, rédactionnelle et juridique.</w:t>
            </w:r>
          </w:p>
        </w:tc>
      </w:tr>
    </w:tbl>
    <w:p>
      <w:pPr>
        <w:spacing w:after="0"/>
      </w:pPr>
    </w:p>
    <w:tbl>
      <w:tblPr>
        <w:tblW w:type="auto" w:w="0"/>
        <w:jc w:val="center"/>
        <w:tblLayout w:type="fixed"/>
        <w:tblLook w:firstColumn="1" w:firstRow="1" w:lastColumn="0" w:lastRow="0" w:noHBand="0" w:noVBand="1" w:val="04A0"/>
      </w:tblPr>
      <w:tblGrid>
        <w:gridCol w:w="454"/>
        <w:gridCol w:w="1871"/>
        <w:gridCol w:w="5783"/>
        <w:gridCol w:w="1644"/>
      </w:tblGrid>
      <w:tr>
        <w:trPr>
          <w:tblHeader w:val="true"/>
        </w:trPr>
        <w:tc>
          <w:tcPr>
            <w:tcW w:type="dxa" w:w="2578"/>
            <w:shd w:fill="123247"/>
          </w:tcPr>
          <w:p>
            <w:r>
              <w:rPr>
                <w:rFonts w:ascii="Liberation Sans" w:hAnsi="Liberation Sans"/>
                <w:b/>
                <w:i w:val="0"/>
                <w:color w:val="FFFFFF"/>
                <w:sz w:val="16"/>
              </w:rPr>
              <w:t>✓</w:t>
            </w:r>
          </w:p>
        </w:tc>
        <w:tc>
          <w:tcPr>
            <w:tcW w:type="dxa" w:w="2578"/>
            <w:shd w:fill="123247"/>
          </w:tcPr>
          <w:p>
            <w:r>
              <w:rPr>
                <w:rFonts w:ascii="Liberation Sans" w:hAnsi="Liberation Sans"/>
                <w:b/>
                <w:i w:val="0"/>
                <w:color w:val="FFFFFF"/>
                <w:sz w:val="16"/>
              </w:rPr>
              <w:t>Contrôle</w:t>
            </w:r>
          </w:p>
        </w:tc>
        <w:tc>
          <w:tcPr>
            <w:tcW w:type="dxa" w:w="2578"/>
            <w:shd w:fill="123247"/>
          </w:tcPr>
          <w:p>
            <w:r>
              <w:rPr>
                <w:rFonts w:ascii="Liberation Sans" w:hAnsi="Liberation Sans"/>
                <w:b/>
                <w:i w:val="0"/>
                <w:color w:val="FFFFFF"/>
                <w:sz w:val="16"/>
              </w:rPr>
              <w:t>Question de validation</w:t>
            </w:r>
          </w:p>
        </w:tc>
        <w:tc>
          <w:tcPr>
            <w:tcW w:type="dxa" w:w="2578"/>
            <w:shd w:fill="123247"/>
          </w:tcPr>
          <w:p>
            <w:r>
              <w:rPr>
                <w:rFonts w:ascii="Liberation Sans" w:hAnsi="Liberation Sans"/>
                <w:b/>
                <w:i w:val="0"/>
                <w:color w:val="FFFFFF"/>
                <w:sz w:val="16"/>
              </w:rPr>
              <w:t>Statut</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Identité</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nom, la forme, l’adresse et le contact correspondent aux informations officielles.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Public</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document indique clairement s’il vise des professionnels, des consommateurs ou les deux.</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Offre</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texte décrit le produit ou service réellement vendu.</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Formation du contrat</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moment d’acceptation correspond au parcours commercial.</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Prix</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Les prix, taxes, frais et règles de facturation sont cohérents avec l’offre.</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Paiement</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moyen, l’échéance et les conséquences d’un retard sont clairement établis.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Abonnement</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La durée, le renouvellement et la résiliation correspondent au produit.</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Interface</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checkout, l’espace client et le contrat racontent la même chose.</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Données</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Les références à la Privacy Policy, DPA et sous-traitants sont correctes.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Propriété intellectuelle</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Les droits de l’entreprise et du Client sont distingués.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Support / SLA</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Les délais et niveaux de service reflètent vos capacités réelles.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Responsabilité</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plafond, les exclusions et les exceptions ont été revus.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Droit applicable</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pays, la juridiction et les clauses B2B/B2C sont adaptés.</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Version</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document porte une date, une version et un historique de mise à jour.</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r>
        <w:tc>
          <w:tcPr>
            <w:tcW w:type="dxa" w:w="454"/>
            <w:tcMar>
              <w:top w:w="75" w:type="dxa"/>
              <w:start w:w="90" w:type="dxa"/>
              <w:bottom w:w="75" w:type="dxa"/>
              <w:end w:w="90" w:type="dxa"/>
            </w:tcMar>
            <w:shd w:fill="FAFCFD"/>
          </w:tcPr>
          <w:p>
            <w:r>
              <w:rPr>
                <w:rFonts w:ascii="Liberation Sans" w:hAnsi="Liberation Sans"/>
                <w:b w:val="0"/>
                <w:i w:val="0"/>
                <w:color w:val="0A7DA0"/>
                <w:sz w:val="20"/>
              </w:rPr>
              <w:t>☐</w:t>
            </w:r>
          </w:p>
        </w:tc>
        <w:tc>
          <w:tcPr>
            <w:tcW w:type="dxa" w:w="1871"/>
            <w:tcMar>
              <w:top w:w="75" w:type="dxa"/>
              <w:start w:w="90" w:type="dxa"/>
              <w:bottom w:w="75" w:type="dxa"/>
              <w:end w:w="90" w:type="dxa"/>
            </w:tcMar>
            <w:shd w:fill="FAFCFD"/>
          </w:tcPr>
          <w:p>
            <w:r>
              <w:rPr>
                <w:rFonts w:ascii="Liberation Sans" w:hAnsi="Liberation Sans"/>
                <w:b/>
                <w:i w:val="0"/>
                <w:color w:val="123247"/>
                <w:sz w:val="15"/>
              </w:rPr>
              <w:t>Validation</w:t>
            </w:r>
          </w:p>
        </w:tc>
        <w:tc>
          <w:tcPr>
            <w:tcW w:type="dxa" w:w="5783"/>
            <w:tcMar>
              <w:top w:w="75" w:type="dxa"/>
              <w:start w:w="90" w:type="dxa"/>
              <w:bottom w:w="75" w:type="dxa"/>
              <w:end w:w="90" w:type="dxa"/>
            </w:tcMar>
            <w:shd w:fill="FAFCFD"/>
          </w:tcPr>
          <w:p>
            <w:r>
              <w:rPr>
                <w:rFonts w:ascii="Liberation Sans" w:hAnsi="Liberation Sans"/>
                <w:b w:val="0"/>
                <w:i w:val="0"/>
                <w:color w:val="1D2A33"/>
                <w:sz w:val="15"/>
              </w:rPr>
              <w:t>Le responsable commercial, opérationnel et, si nécessaire, juridique ont approuvé la version finale.</w:t>
            </w:r>
          </w:p>
        </w:tc>
        <w:tc>
          <w:tcPr>
            <w:tcW w:type="dxa" w:w="1644"/>
            <w:tcMar>
              <w:top w:w="75" w:type="dxa"/>
              <w:start w:w="90" w:type="dxa"/>
              <w:bottom w:w="75" w:type="dxa"/>
              <w:end w:w="90" w:type="dxa"/>
            </w:tcMar>
            <w:shd w:fill="FAFCFD"/>
          </w:tcPr>
          <w:p>
            <w:r>
              <w:rPr>
                <w:rFonts w:ascii="Liberation Sans" w:hAnsi="Liberation Sans"/>
                <w:b w:val="0"/>
                <w:i w:val="0"/>
                <w:color w:val="D97706"/>
                <w:sz w:val="15"/>
              </w:rPr>
              <w:t>À vérifier</w:t>
            </w:r>
          </w:p>
        </w:tc>
      </w:tr>
    </w:tbl>
    <w:p>
      <w:pPr>
        <w:pStyle w:val="Heading2"/>
      </w:pPr>
      <w:r>
        <w:rPr>
          <w:rFonts w:ascii="Liberation Sans" w:hAnsi="Liberation Sans"/>
          <w:b/>
          <w:i w:val="0"/>
          <w:color w:val="0A7DA0"/>
          <w:sz w:val="26"/>
        </w:rPr>
        <w:t>Historique des versions</w:t>
      </w:r>
    </w:p>
    <w:tbl>
      <w:tblPr>
        <w:tblW w:type="auto" w:w="0"/>
        <w:jc w:val="center"/>
        <w:tblLayout w:type="fixed"/>
        <w:tblLook w:firstColumn="1" w:firstRow="1" w:lastColumn="0" w:lastRow="0" w:noHBand="0" w:noVBand="1" w:val="04A0"/>
      </w:tblPr>
      <w:tblGrid>
        <w:gridCol w:w="2578"/>
        <w:gridCol w:w="2578"/>
        <w:gridCol w:w="2578"/>
        <w:gridCol w:w="2578"/>
      </w:tblGrid>
      <w:tr>
        <w:tc>
          <w:tcPr>
            <w:tcW w:type="dxa" w:w="2578"/>
            <w:shd w:fill="123247"/>
          </w:tcPr>
          <w:p>
            <w:r>
              <w:rPr>
                <w:rFonts w:ascii="Liberation Sans" w:hAnsi="Liberation Sans"/>
                <w:b/>
                <w:i w:val="0"/>
                <w:color w:val="FFFFFF"/>
                <w:sz w:val="16"/>
              </w:rPr>
              <w:t>Version</w:t>
            </w:r>
          </w:p>
        </w:tc>
        <w:tc>
          <w:tcPr>
            <w:tcW w:type="dxa" w:w="2578"/>
            <w:shd w:fill="123247"/>
          </w:tcPr>
          <w:p>
            <w:r>
              <w:rPr>
                <w:rFonts w:ascii="Liberation Sans" w:hAnsi="Liberation Sans"/>
                <w:b/>
                <w:i w:val="0"/>
                <w:color w:val="FFFFFF"/>
                <w:sz w:val="16"/>
              </w:rPr>
              <w:t>Date</w:t>
            </w:r>
          </w:p>
        </w:tc>
        <w:tc>
          <w:tcPr>
            <w:tcW w:type="dxa" w:w="2578"/>
            <w:shd w:fill="123247"/>
          </w:tcPr>
          <w:p>
            <w:r>
              <w:rPr>
                <w:rFonts w:ascii="Liberation Sans" w:hAnsi="Liberation Sans"/>
                <w:b/>
                <w:i w:val="0"/>
                <w:color w:val="FFFFFF"/>
                <w:sz w:val="16"/>
              </w:rPr>
              <w:t>Modification</w:t>
            </w:r>
          </w:p>
        </w:tc>
        <w:tc>
          <w:tcPr>
            <w:tcW w:type="dxa" w:w="2578"/>
            <w:shd w:fill="123247"/>
          </w:tcPr>
          <w:p>
            <w:r>
              <w:rPr>
                <w:rFonts w:ascii="Liberation Sans" w:hAnsi="Liberation Sans"/>
                <w:b/>
                <w:i w:val="0"/>
                <w:color w:val="FFFFFF"/>
                <w:sz w:val="16"/>
              </w:rPr>
              <w:t>Validé par</w:t>
            </w:r>
          </w:p>
        </w:tc>
      </w:tr>
      <w:tr>
        <w:tc>
          <w:tcPr>
            <w:tcW w:type="dxa" w:w="2578"/>
            <w:shd w:fill="F8FAFB"/>
            <w:tcMar>
              <w:top w:w="80" w:type="dxa"/>
              <w:start w:w="100" w:type="dxa"/>
              <w:bottom w:w="80" w:type="dxa"/>
              <w:end w:w="100" w:type="dxa"/>
            </w:tcMar>
          </w:tcPr>
          <w:p>
            <w:r>
              <w:rPr>
                <w:rFonts w:ascii="Liberation Sans" w:hAnsi="Liberation Sans"/>
                <w:b w:val="0"/>
                <w:i w:val="0"/>
                <w:color w:val="1D2A33"/>
                <w:sz w:val="16"/>
              </w:rPr>
              <w:t>1.0</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[DATE]</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Création du modèle</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[NOM]</w:t>
            </w:r>
          </w:p>
        </w:tc>
      </w:tr>
      <w:tr>
        <w:tc>
          <w:tcPr>
            <w:tcW w:type="dxa" w:w="2578"/>
            <w:shd w:fill="F8FAFB"/>
            <w:tcMar>
              <w:top w:w="80" w:type="dxa"/>
              <w:start w:w="100" w:type="dxa"/>
              <w:bottom w:w="80" w:type="dxa"/>
              <w:end w:w="100" w:type="dxa"/>
            </w:tcMar>
          </w:tcPr>
          <w:p>
            <w:r>
              <w:rPr>
                <w:rFonts w:ascii="Liberation Sans" w:hAnsi="Liberation Sans"/>
                <w:b w:val="0"/>
                <w:i w:val="0"/>
                <w:color w:val="1D2A33"/>
                <w:sz w:val="16"/>
              </w:rPr>
              <w:t>1.1</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[DATE]</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[MODIFICATION]</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[NOM]</w:t>
            </w:r>
          </w:p>
        </w:tc>
      </w:tr>
      <w:tr>
        <w:tc>
          <w:tcPr>
            <w:tcW w:type="dxa" w:w="2578"/>
            <w:shd w:fill="F8FAFB"/>
            <w:tcMar>
              <w:top w:w="80" w:type="dxa"/>
              <w:start w:w="100" w:type="dxa"/>
              <w:bottom w:w="80" w:type="dxa"/>
              <w:end w:w="100" w:type="dxa"/>
            </w:tcMar>
          </w:tcPr>
          <w:p>
            <w:r>
              <w:rPr>
                <w:rFonts w:ascii="Liberation Sans" w:hAnsi="Liberation Sans"/>
                <w:b w:val="0"/>
                <w:i w:val="0"/>
                <w:color w:val="1D2A33"/>
                <w:sz w:val="16"/>
              </w:rPr>
              <w:t>2.0</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[DATE]</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[RÉVISION MAJEURE]</w:t>
            </w:r>
          </w:p>
        </w:tc>
        <w:tc>
          <w:tcPr>
            <w:tcW w:type="dxa" w:w="2578"/>
            <w:shd w:fill="F8FAFB"/>
            <w:tcMar>
              <w:top w:w="80" w:type="dxa"/>
              <w:start w:w="100" w:type="dxa"/>
              <w:bottom w:w="80" w:type="dxa"/>
              <w:end w:w="100" w:type="dxa"/>
            </w:tcMar>
          </w:tcPr>
          <w:p>
            <w:r>
              <w:rPr>
                <w:rFonts w:ascii="Liberation Sans" w:hAnsi="Liberation Sans"/>
                <w:b w:val="0"/>
                <w:i w:val="0"/>
                <w:color w:val="1D2A33"/>
                <w:sz w:val="16"/>
              </w:rPr>
              <w:t>[NOM]</w:t>
            </w:r>
          </w:p>
        </w:tc>
      </w:tr>
    </w:tbl>
    <w:tbl>
      <w:tblPr>
        <w:tblW w:type="auto" w:w="0"/>
        <w:jc w:val="center"/>
        <w:tblLayout w:type="fixed"/>
        <w:tblLook w:firstColumn="1" w:firstRow="1" w:lastColumn="0" w:lastRow="0" w:noHBand="0" w:noVBand="1" w:val="04A0"/>
      </w:tblPr>
      <w:tblGrid>
        <w:gridCol w:w="198"/>
        <w:gridCol w:w="9638"/>
      </w:tblGrid>
      <w:tr>
        <w:tc>
          <w:tcPr>
            <w:tcW w:type="dxa" w:w="5156"/>
            <w:shd w:fill="B63A3A"/>
          </w:tcPr>
          <w:p>
            <w:r/>
          </w:p>
        </w:tc>
        <w:tc>
          <w:tcPr>
            <w:tcW w:type="dxa" w:w="5156"/>
            <w:shd w:fill="FFF1F2"/>
            <w:tcMar>
              <w:top w:w="110" w:type="dxa"/>
              <w:start w:w="160" w:type="dxa"/>
              <w:bottom w:w="110" w:type="dxa"/>
              <w:end w:w="160" w:type="dxa"/>
            </w:tcMar>
            <w:vAlign w:val="center"/>
          </w:tcPr>
          <w:p>
            <w:r>
              <w:rPr>
                <w:rFonts w:ascii="Liberation Sans" w:hAnsi="Liberation Sans"/>
                <w:b/>
                <w:i w:val="0"/>
                <w:color w:val="123247"/>
                <w:sz w:val="18"/>
              </w:rPr>
              <w:t>Avertissement important</w:t>
            </w:r>
          </w:p>
          <w:p>
            <w:pPr>
              <w:spacing w:after="0"/>
            </w:pPr>
            <w:r>
              <w:rPr>
                <w:rFonts w:ascii="Liberation Sans" w:hAnsi="Liberation Sans"/>
                <w:b w:val="0"/>
                <w:i w:val="0"/>
                <w:color w:val="1D2A33"/>
                <w:sz w:val="17"/>
              </w:rPr>
              <w:t>Ce modèle est un outil de structuration et de préparation. Il ne constitue pas un avis juridique personnalisé ni une garantie de conformité. Les règles applicables varient selon la juridiction, le secteur, le type de client, les biens ou services vendus et les choix contractuels.</w:t>
            </w:r>
          </w:p>
        </w:tc>
      </w:tr>
    </w:tbl>
    <w:p>
      <w:pPr>
        <w:spacing w:before="240"/>
        <w:jc w:val="center"/>
      </w:pPr>
      <w:r>
        <w:rPr>
          <w:rFonts w:ascii="Liberation Sans" w:hAnsi="Liberation Sans"/>
          <w:b/>
          <w:i w:val="0"/>
          <w:color w:val="123247"/>
          <w:sz w:val="18"/>
        </w:rPr>
        <w:t>Keywords de référence</w:t>
      </w:r>
    </w:p>
    <w:p>
      <w:pPr>
        <w:jc w:val="center"/>
      </w:pPr>
      <w:r>
        <w:rPr>
          <w:rFonts w:ascii="Liberation Sans" w:hAnsi="Liberation Sans"/>
          <w:b w:val="0"/>
          <w:i w:val="0"/>
          <w:color w:val="0A7DA0"/>
          <w:sz w:val="16"/>
        </w:rPr>
        <w:t>terms and conditions • general terms and conditions • terms and conditions template • terms and conditions generator • purchase order terms and conditions • SaaS terms and conditions</w:t>
      </w:r>
    </w:p>
    <w:sectPr w:rsidR="00FC693F" w:rsidRPr="0006063C" w:rsidSect="00034616">
      <w:headerReference w:type="default" r:id="rId9"/>
      <w:footerReference w:type="default" r:id="rId10"/>
      <w:pgSz w:w="12240" w:h="15840"/>
      <w:pgMar w:top="907" w:right="964" w:bottom="907"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b w:val="0"/>
        <w:i w:val="0"/>
        <w:color w:val="5E6E78"/>
        <w:sz w:val="15"/>
      </w:rPr>
      <w:t>Document modifiable • Modèle de structuration contractuelle • Version 1.0</w:t>
    </w:r>
    <w:r>
      <w:rPr>
        <w:rFonts w:ascii="Liberation Sans" w:hAnsi="Liberation Sans"/>
        <w:color w:val="5E6E78"/>
        <w:sz w:val="16"/>
      </w:rPr>
      <w:t xml:space="preserve"> • 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576"/>
      <w:gridCol w:w="3288"/>
    </w:tblGrid>
    <w:tr>
      <w:tc>
        <w:tcPr>
          <w:tcW w:type="dxa" w:w="4932"/>
          <w:tcMar>
            <w:top w:w="30" w:type="dxa"/>
            <w:start w:w="0" w:type="dxa"/>
            <w:bottom w:w="30" w:type="dxa"/>
            <w:end w:w="0" w:type="dxa"/>
          </w:tcMar>
          <w:tcBorders>
            <w:bottom w:val="single" w:sz="8" w:color="D5E2E8"/>
          </w:tcBorders>
        </w:tcPr>
        <w:p>
          <w:r>
            <w:rPr>
              <w:rFonts w:ascii="Liberation Sans" w:hAnsi="Liberation Sans"/>
              <w:b/>
              <w:i w:val="0"/>
              <w:color w:val="123247"/>
              <w:sz w:val="17"/>
            </w:rPr>
            <w:t>TERMS AND CONDITIONS</w:t>
          </w:r>
        </w:p>
      </w:tc>
      <w:tc>
        <w:tcPr>
          <w:tcW w:type="dxa" w:w="4932"/>
          <w:tcMar>
            <w:top w:w="30" w:type="dxa"/>
            <w:start w:w="0" w:type="dxa"/>
            <w:bottom w:w="30" w:type="dxa"/>
            <w:end w:w="0" w:type="dxa"/>
          </w:tcMar>
          <w:tcBorders>
            <w:bottom w:val="single" w:sz="8" w:color="D5E2E8"/>
          </w:tcBorders>
        </w:tcPr>
        <w:p>
          <w:pPr>
            <w:jc w:val="right"/>
          </w:pPr>
          <w:r>
            <w:rPr>
              <w:rFonts w:ascii="Liberation Sans" w:hAnsi="Liberation Sans"/>
              <w:b/>
              <w:i w:val="0"/>
              <w:color w:val="0A7DA0"/>
              <w:sz w:val="15"/>
            </w:rPr>
            <w:t>MODÈLE WORD INTELLIGENT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Liberation Sans" w:hAnsi="Liberation Sans"/>
      <w:color w:val="1D2A3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Liberation Sans" w:hAnsi="Liberation Sans"/>
      <w:b/>
      <w:bCs/>
      <w:color w:val="123247"/>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b/>
      <w:bCs/>
      <w:color w:val="0A7DA0"/>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Liberation Sans" w:hAnsi="Liberation Sans"/>
      <w:b/>
      <w:bCs/>
      <w:color w:val="12324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Liberation Sans" w:hAnsi="Liberation Sans"/>
      <w:b/>
      <w:color w:val="123247"/>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
    <w:name w:val="Field"/>
    <w:pPr>
      <w:spacing w:after="80"/>
    </w:pPr>
    <w:rPr>
      <w:rFonts w:ascii="Liberation Sans" w:hAnsi="Liberation Sans"/>
      <w:color w:val="123247"/>
      <w:sz w:val="18"/>
    </w:rPr>
  </w:style>
  <w:style w:type="paragraph" w:customStyle="1" w:styleId="Small">
    <w:name w:val="Small"/>
    <w:pPr>
      <w:spacing w:after="60"/>
    </w:pPr>
    <w:rPr>
      <w:rFonts w:ascii="Liberation Sans" w:hAnsi="Liberation Sans"/>
      <w:color w:val="5E6E7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 Modèle Word de référence modifiable</dc:title>
  <dc:subject>Modèle intelligent de conditions contractuelles générales</dc:subject>
  <dc:creator/>
  <cp:keywords>terms and conditions, general terms and conditions, template, purchase order, SaaS</cp:keywords>
  <dc:description>generated by python-docx</dc:description>
  <cp:lastModifiedBy/>
  <cp:revision>1</cp:revision>
  <dcterms:created xsi:type="dcterms:W3CDTF">2013-12-23T23:15:00Z</dcterms:created>
  <dcterms:modified xsi:type="dcterms:W3CDTF">2013-12-23T23:15:00Z</dcterms:modified>
  <cp:category/>
</cp:coreProperties>
</file>