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tblLook w:firstColumn="1" w:firstRow="1" w:lastColumn="0" w:lastRow="0" w:noHBand="0" w:noVBand="1" w:val="04A0"/>
      </w:tblPr>
      <w:tblGrid>
        <w:gridCol w:w="8640"/>
      </w:tblGrid>
      <w:tr>
        <w:tc>
          <w:tcPr>
            <w:tcW w:type="dxa" w:w="8640"/>
            <w:shd w:fill="1F4E79"/>
          </w:tcPr>
          <w:p>
            <w:pPr>
              <w:jc w:val="center"/>
            </w:pPr>
            <w:r>
              <w:rPr>
                <w:b/>
                <w:color w:val="FFFFFF"/>
                <w:sz w:val="44"/>
              </w:rPr>
              <w:t>NOTE DE SYNTHÈSE PROJET</w:t>
              <w:br/>
              <w:t>Exemple complet – Comité de Pilotage</w:t>
            </w:r>
          </w:p>
        </w:tc>
      </w:tr>
    </w:tbl>
    <w:p>
      <w:r>
        <w:t>Projet : Déploiement d'un ERP multi-sites</w:t>
        <w:br/>
        <w:t>Chef de projet : Amina El Idrissi</w:t>
        <w:br/>
        <w:t>Sponsor : Direction Générale</w:t>
        <w:br/>
        <w:t>Version : 1.0</w:t>
      </w:r>
    </w:p>
    <w:p>
      <w:pPr>
        <w:pStyle w:val="Heading1"/>
      </w:pPr>
      <w:r>
        <w:rPr>
          <w:color w:val="1F4E79"/>
        </w:rPr>
        <w:t>1. Contexte</w:t>
      </w:r>
    </w:p>
    <w:p>
      <w:r>
        <w:t>Le projet vise à remplacer plusieurs applications historiques par un ERP unique afin d'améliorer la circulation des informations, de réduire les traitements manuels et de renforcer la qualité des données. L'audit initial a mis en évidence des doubles saisies, des délais de validation élevés, des difficultés de consolidation et une visibilité limitée sur les indicateurs de performance. La direction a donc validé un programme de transformation progressif impliquant les équipes Finance, Achats, RH, Logistique et SI.</w:t>
      </w:r>
    </w:p>
    <w:p>
      <w:pPr>
        <w:pStyle w:val="Heading1"/>
      </w:pPr>
      <w:r>
        <w:rPr>
          <w:color w:val="1F4E79"/>
        </w:rPr>
        <w:t>2. Objectifs stratégiques</w:t>
      </w:r>
    </w:p>
    <w:tbl>
      <w:tblPr>
        <w:tblStyle w:val="TableGrid"/>
        <w:tblW w:type="auto" w:w="0"/>
        <w:tblLook w:firstColumn="1" w:firstRow="1" w:lastColumn="0" w:lastRow="0" w:noHBand="0" w:noVBand="1" w:val="04A0"/>
      </w:tblPr>
      <w:tblGrid>
        <w:gridCol w:w="2160"/>
        <w:gridCol w:w="2160"/>
        <w:gridCol w:w="2160"/>
        <w:gridCol w:w="2160"/>
      </w:tblGrid>
      <w:tr>
        <w:tc>
          <w:tcPr>
            <w:tcW w:type="dxa" w:w="2160"/>
            <w:shd w:fill="D9EAF7"/>
          </w:tcPr>
          <w:p>
            <w:r>
              <w:t>Axe</w:t>
            </w:r>
          </w:p>
        </w:tc>
        <w:tc>
          <w:tcPr>
            <w:tcW w:type="dxa" w:w="2160"/>
            <w:shd w:fill="D9EAF7"/>
          </w:tcPr>
          <w:p>
            <w:r>
              <w:t>Objectif</w:t>
            </w:r>
          </w:p>
        </w:tc>
        <w:tc>
          <w:tcPr>
            <w:tcW w:type="dxa" w:w="2160"/>
            <w:shd w:fill="D9EAF7"/>
          </w:tcPr>
          <w:p>
            <w:r>
              <w:t>Indicateur</w:t>
            </w:r>
          </w:p>
        </w:tc>
        <w:tc>
          <w:tcPr>
            <w:tcW w:type="dxa" w:w="2160"/>
            <w:shd w:fill="D9EAF7"/>
          </w:tcPr>
          <w:p>
            <w:r>
              <w:t>Cible</w:t>
            </w:r>
          </w:p>
        </w:tc>
      </w:tr>
      <w:tr>
        <w:tc>
          <w:tcPr>
            <w:tcW w:type="dxa" w:w="2160"/>
          </w:tcPr>
          <w:p>
            <w:r>
              <w:t>Performance</w:t>
            </w:r>
          </w:p>
        </w:tc>
        <w:tc>
          <w:tcPr>
            <w:tcW w:type="dxa" w:w="2160"/>
          </w:tcPr>
          <w:p>
            <w:r>
              <w:t>Réduire les délais</w:t>
            </w:r>
          </w:p>
        </w:tc>
        <w:tc>
          <w:tcPr>
            <w:tcW w:type="dxa" w:w="2160"/>
          </w:tcPr>
          <w:p>
            <w:r>
              <w:t>Temps de traitement</w:t>
            </w:r>
          </w:p>
        </w:tc>
        <w:tc>
          <w:tcPr>
            <w:tcW w:type="dxa" w:w="2160"/>
          </w:tcPr>
          <w:p>
            <w:r>
              <w:t>-30 %</w:t>
            </w:r>
          </w:p>
        </w:tc>
      </w:tr>
      <w:tr>
        <w:tc>
          <w:tcPr>
            <w:tcW w:type="dxa" w:w="2160"/>
          </w:tcPr>
          <w:p>
            <w:r>
              <w:t>Qualité</w:t>
            </w:r>
          </w:p>
        </w:tc>
        <w:tc>
          <w:tcPr>
            <w:tcW w:type="dxa" w:w="2160"/>
          </w:tcPr>
          <w:p>
            <w:r>
              <w:t>Limiter les erreurs</w:t>
            </w:r>
          </w:p>
        </w:tc>
        <w:tc>
          <w:tcPr>
            <w:tcW w:type="dxa" w:w="2160"/>
          </w:tcPr>
          <w:p>
            <w:r>
              <w:t>Taux d'erreur</w:t>
            </w:r>
          </w:p>
        </w:tc>
        <w:tc>
          <w:tcPr>
            <w:tcW w:type="dxa" w:w="2160"/>
          </w:tcPr>
          <w:p>
            <w:r>
              <w:t>&lt;2 %</w:t>
            </w:r>
          </w:p>
        </w:tc>
      </w:tr>
      <w:tr>
        <w:tc>
          <w:tcPr>
            <w:tcW w:type="dxa" w:w="2160"/>
          </w:tcPr>
          <w:p>
            <w:r>
              <w:t>Finance</w:t>
            </w:r>
          </w:p>
        </w:tc>
        <w:tc>
          <w:tcPr>
            <w:tcW w:type="dxa" w:w="2160"/>
          </w:tcPr>
          <w:p>
            <w:r>
              <w:t>Maîtriser les coûts</w:t>
            </w:r>
          </w:p>
        </w:tc>
        <w:tc>
          <w:tcPr>
            <w:tcW w:type="dxa" w:w="2160"/>
          </w:tcPr>
          <w:p>
            <w:r>
              <w:t>Coût opérationnel</w:t>
            </w:r>
          </w:p>
        </w:tc>
        <w:tc>
          <w:tcPr>
            <w:tcW w:type="dxa" w:w="2160"/>
          </w:tcPr>
          <w:p>
            <w:r>
              <w:t>-18 %</w:t>
            </w:r>
          </w:p>
        </w:tc>
      </w:tr>
      <w:tr>
        <w:tc>
          <w:tcPr>
            <w:tcW w:type="dxa" w:w="2160"/>
          </w:tcPr>
          <w:p>
            <w:r>
              <w:t>Digital</w:t>
            </w:r>
          </w:p>
        </w:tc>
        <w:tc>
          <w:tcPr>
            <w:tcW w:type="dxa" w:w="2160"/>
          </w:tcPr>
          <w:p>
            <w:r>
              <w:t>Automatiser les flux</w:t>
            </w:r>
          </w:p>
        </w:tc>
        <w:tc>
          <w:tcPr>
            <w:tcW w:type="dxa" w:w="2160"/>
          </w:tcPr>
          <w:p>
            <w:r>
              <w:t>Processus automatisés</w:t>
            </w:r>
          </w:p>
        </w:tc>
        <w:tc>
          <w:tcPr>
            <w:tcW w:type="dxa" w:w="2160"/>
          </w:tcPr>
          <w:p>
            <w:r>
              <w:t>85 %</w:t>
            </w:r>
          </w:p>
        </w:tc>
      </w:tr>
      <w:tr>
        <w:tc>
          <w:tcPr>
            <w:tcW w:type="dxa" w:w="2160"/>
          </w:tcPr>
          <w:p>
            <w:r>
              <w:t>Satisfaction</w:t>
            </w:r>
          </w:p>
        </w:tc>
        <w:tc>
          <w:tcPr>
            <w:tcW w:type="dxa" w:w="2160"/>
          </w:tcPr>
          <w:p>
            <w:r>
              <w:t>Améliorer l'expérience</w:t>
            </w:r>
          </w:p>
        </w:tc>
        <w:tc>
          <w:tcPr>
            <w:tcW w:type="dxa" w:w="2160"/>
          </w:tcPr>
          <w:p>
            <w:r>
              <w:t>Score utilisateurs</w:t>
            </w:r>
          </w:p>
        </w:tc>
        <w:tc>
          <w:tcPr>
            <w:tcW w:type="dxa" w:w="2160"/>
          </w:tcPr>
          <w:p>
            <w:r>
              <w:t>&gt;90 %</w:t>
            </w:r>
          </w:p>
        </w:tc>
      </w:tr>
    </w:tbl>
    <w:p>
      <w:pPr>
        <w:pStyle w:val="Heading1"/>
      </w:pPr>
      <w:r>
        <w:rPr>
          <w:color w:val="1F4E79"/>
        </w:rPr>
        <w:t>3. Résumé exécutif</w:t>
      </w:r>
    </w:p>
    <w:p>
      <w:r>
        <w:t>Le projet affiche un avancement global de 68 %. Les développements sont quasiment terminés et la recette fonctionnelle a commencé. Le budget reste conforme aux prévisions malgré un léger ajustement lié à des prestations complémentaires. Les premiers retours des utilisateurs pilotes sont positifs. Le comité est invité à valider le planning révisé et le lancement de la phase finale de recette.</w:t>
      </w:r>
    </w:p>
    <w:p>
      <w:pPr>
        <w:pStyle w:val="Heading1"/>
      </w:pPr>
      <w:r>
        <w:rPr>
          <w:color w:val="1F4E79"/>
        </w:rPr>
        <w:t>4. Avancement détaillé</w:t>
      </w:r>
    </w:p>
    <w:tbl>
      <w:tblPr>
        <w:tblStyle w:val="TableGrid"/>
        <w:tblW w:type="auto" w:w="0"/>
        <w:tblLook w:firstColumn="1" w:firstRow="1" w:lastColumn="0" w:lastRow="0" w:noHBand="0" w:noVBand="1" w:val="04A0"/>
      </w:tblPr>
      <w:tblGrid>
        <w:gridCol w:w="2160"/>
        <w:gridCol w:w="2160"/>
        <w:gridCol w:w="2160"/>
        <w:gridCol w:w="2160"/>
      </w:tblGrid>
      <w:tr>
        <w:tc>
          <w:tcPr>
            <w:tcW w:type="dxa" w:w="2160"/>
            <w:shd w:fill="E2F0D9"/>
          </w:tcPr>
          <w:p>
            <w:r>
              <w:t>Lot</w:t>
            </w:r>
          </w:p>
        </w:tc>
        <w:tc>
          <w:tcPr>
            <w:tcW w:type="dxa" w:w="2160"/>
            <w:shd w:fill="E2F0D9"/>
          </w:tcPr>
          <w:p>
            <w:r>
              <w:t>Prévu</w:t>
            </w:r>
          </w:p>
        </w:tc>
        <w:tc>
          <w:tcPr>
            <w:tcW w:type="dxa" w:w="2160"/>
            <w:shd w:fill="E2F0D9"/>
          </w:tcPr>
          <w:p>
            <w:r>
              <w:t>Réalisé</w:t>
            </w:r>
          </w:p>
        </w:tc>
        <w:tc>
          <w:tcPr>
            <w:tcW w:type="dxa" w:w="2160"/>
            <w:shd w:fill="E2F0D9"/>
          </w:tcPr>
          <w:p>
            <w:r>
              <w:t>Observation</w:t>
            </w:r>
          </w:p>
        </w:tc>
      </w:tr>
      <w:tr>
        <w:tc>
          <w:tcPr>
            <w:tcW w:type="dxa" w:w="2160"/>
          </w:tcPr>
          <w:p>
            <w:r>
              <w:t>Analyse</w:t>
            </w:r>
          </w:p>
        </w:tc>
        <w:tc>
          <w:tcPr>
            <w:tcW w:type="dxa" w:w="2160"/>
          </w:tcPr>
          <w:p>
            <w:r>
              <w:t>100 %</w:t>
            </w:r>
          </w:p>
        </w:tc>
        <w:tc>
          <w:tcPr>
            <w:tcW w:type="dxa" w:w="2160"/>
          </w:tcPr>
          <w:p>
            <w:r>
              <w:t>100 %</w:t>
            </w:r>
          </w:p>
        </w:tc>
        <w:tc>
          <w:tcPr>
            <w:tcW w:type="dxa" w:w="2160"/>
          </w:tcPr>
          <w:p>
            <w:r>
              <w:t>Terminée</w:t>
            </w:r>
          </w:p>
        </w:tc>
      </w:tr>
      <w:tr>
        <w:tc>
          <w:tcPr>
            <w:tcW w:type="dxa" w:w="2160"/>
          </w:tcPr>
          <w:p>
            <w:r>
              <w:t>Conception</w:t>
            </w:r>
          </w:p>
        </w:tc>
        <w:tc>
          <w:tcPr>
            <w:tcW w:type="dxa" w:w="2160"/>
          </w:tcPr>
          <w:p>
            <w:r>
              <w:t>100 %</w:t>
            </w:r>
          </w:p>
        </w:tc>
        <w:tc>
          <w:tcPr>
            <w:tcW w:type="dxa" w:w="2160"/>
          </w:tcPr>
          <w:p>
            <w:r>
              <w:t>100 %</w:t>
            </w:r>
          </w:p>
        </w:tc>
        <w:tc>
          <w:tcPr>
            <w:tcW w:type="dxa" w:w="2160"/>
          </w:tcPr>
          <w:p>
            <w:r>
              <w:t>Validée</w:t>
            </w:r>
          </w:p>
        </w:tc>
      </w:tr>
      <w:tr>
        <w:tc>
          <w:tcPr>
            <w:tcW w:type="dxa" w:w="2160"/>
          </w:tcPr>
          <w:p>
            <w:r>
              <w:t>Développements</w:t>
            </w:r>
          </w:p>
        </w:tc>
        <w:tc>
          <w:tcPr>
            <w:tcW w:type="dxa" w:w="2160"/>
          </w:tcPr>
          <w:p>
            <w:r>
              <w:t>100 %</w:t>
            </w:r>
          </w:p>
        </w:tc>
        <w:tc>
          <w:tcPr>
            <w:tcW w:type="dxa" w:w="2160"/>
          </w:tcPr>
          <w:p>
            <w:r>
              <w:t>98 %</w:t>
            </w:r>
          </w:p>
        </w:tc>
        <w:tc>
          <w:tcPr>
            <w:tcW w:type="dxa" w:w="2160"/>
          </w:tcPr>
          <w:p>
            <w:r>
              <w:t>Finalisation</w:t>
            </w:r>
          </w:p>
        </w:tc>
      </w:tr>
      <w:tr>
        <w:tc>
          <w:tcPr>
            <w:tcW w:type="dxa" w:w="2160"/>
          </w:tcPr>
          <w:p>
            <w:r>
              <w:t>Interfaces</w:t>
            </w:r>
          </w:p>
        </w:tc>
        <w:tc>
          <w:tcPr>
            <w:tcW w:type="dxa" w:w="2160"/>
          </w:tcPr>
          <w:p>
            <w:r>
              <w:t>100 %</w:t>
            </w:r>
          </w:p>
        </w:tc>
        <w:tc>
          <w:tcPr>
            <w:tcW w:type="dxa" w:w="2160"/>
          </w:tcPr>
          <w:p>
            <w:r>
              <w:t>92 %</w:t>
            </w:r>
          </w:p>
        </w:tc>
        <w:tc>
          <w:tcPr>
            <w:tcW w:type="dxa" w:w="2160"/>
          </w:tcPr>
          <w:p>
            <w:r>
              <w:t>Tests en cours</w:t>
            </w:r>
          </w:p>
        </w:tc>
      </w:tr>
      <w:tr>
        <w:tc>
          <w:tcPr>
            <w:tcW w:type="dxa" w:w="2160"/>
          </w:tcPr>
          <w:p>
            <w:r>
              <w:t>Recette</w:t>
            </w:r>
          </w:p>
        </w:tc>
        <w:tc>
          <w:tcPr>
            <w:tcW w:type="dxa" w:w="2160"/>
          </w:tcPr>
          <w:p>
            <w:r>
              <w:t>70 %</w:t>
            </w:r>
          </w:p>
        </w:tc>
        <w:tc>
          <w:tcPr>
            <w:tcW w:type="dxa" w:w="2160"/>
          </w:tcPr>
          <w:p>
            <w:r>
              <w:t>62 %</w:t>
            </w:r>
          </w:p>
        </w:tc>
        <w:tc>
          <w:tcPr>
            <w:tcW w:type="dxa" w:w="2160"/>
          </w:tcPr>
          <w:p>
            <w:r>
              <w:t>Progression conforme</w:t>
            </w:r>
          </w:p>
        </w:tc>
      </w:tr>
      <w:tr>
        <w:tc>
          <w:tcPr>
            <w:tcW w:type="dxa" w:w="2160"/>
          </w:tcPr>
          <w:p>
            <w:r>
              <w:t>Formation</w:t>
            </w:r>
          </w:p>
        </w:tc>
        <w:tc>
          <w:tcPr>
            <w:tcW w:type="dxa" w:w="2160"/>
          </w:tcPr>
          <w:p>
            <w:r>
              <w:t>20 %</w:t>
            </w:r>
          </w:p>
        </w:tc>
        <w:tc>
          <w:tcPr>
            <w:tcW w:type="dxa" w:w="2160"/>
          </w:tcPr>
          <w:p>
            <w:r>
              <w:t>15 %</w:t>
            </w:r>
          </w:p>
        </w:tc>
        <w:tc>
          <w:tcPr>
            <w:tcW w:type="dxa" w:w="2160"/>
          </w:tcPr>
          <w:p>
            <w:r>
              <w:t>Sessions programmées</w:t>
            </w:r>
          </w:p>
        </w:tc>
      </w:tr>
    </w:tbl>
    <w:p>
      <w:pPr>
        <w:pStyle w:val="Heading1"/>
      </w:pPr>
      <w:r>
        <w:rPr>
          <w:color w:val="1F4E79"/>
        </w:rPr>
        <w:t>5. Tableau de bord des KPI</w:t>
      </w:r>
    </w:p>
    <w:p>
      <w:pPr>
        <w:pStyle w:val="ListBullet"/>
      </w:pPr>
      <w:r>
        <w:t>Budget consommé : 482 000 € sur 500 000 €.</w:t>
      </w:r>
    </w:p>
    <w:p>
      <w:pPr>
        <w:pStyle w:val="ListBullet"/>
      </w:pPr>
      <w:r>
        <w:t>Disponibilité de la plateforme : 99,7 %.</w:t>
      </w:r>
    </w:p>
    <w:p>
      <w:pPr>
        <w:pStyle w:val="ListBullet"/>
      </w:pPr>
      <w:r>
        <w:t>12 anomalies ouvertes, dont 2 critiques.</w:t>
      </w:r>
    </w:p>
    <w:p>
      <w:pPr>
        <w:pStyle w:val="ListBullet"/>
      </w:pPr>
      <w:r>
        <w:t>97 % de conformité des tests exécutés.</w:t>
      </w:r>
    </w:p>
    <w:p>
      <w:pPr>
        <w:pStyle w:val="ListBullet"/>
      </w:pPr>
      <w:r>
        <w:t>89 % de satisfaction des utilisateurs pilotes.</w:t>
      </w:r>
    </w:p>
    <w:p>
      <w:pPr>
        <w:pStyle w:val="ListBullet"/>
      </w:pPr>
      <w:r>
        <w:t>Indice de performance coût (CPI) : 1,02.</w:t>
      </w:r>
    </w:p>
    <w:p>
      <w:pPr>
        <w:pStyle w:val="ListBullet"/>
      </w:pPr>
      <w:r>
        <w:t>Indice de performance planning (SPI) : 0,96.</w:t>
      </w:r>
    </w:p>
    <w:p>
      <w:pPr>
        <w:pStyle w:val="Heading1"/>
      </w:pPr>
      <w:r>
        <w:rPr>
          <w:color w:val="1F4E79"/>
        </w:rPr>
        <w:t>6. Analyse financière</w:t>
      </w:r>
    </w:p>
    <w:p>
      <w:r>
        <w:t>Les dépenses engagées restent sous contrôle. Les économies réalisées sur les infrastructures compensent une légère hausse des prestations de conseil. Une réserve budgétaire demeure disponible pour accompagner la mise en production et le support post-déploiement.</w:t>
      </w:r>
    </w:p>
    <w:p>
      <w:pPr>
        <w:pStyle w:val="Heading1"/>
      </w:pPr>
      <w:r>
        <w:rPr>
          <w:color w:val="1F4E79"/>
        </w:rPr>
        <w:t>7. Analyse des risques</w:t>
      </w:r>
    </w:p>
    <w:tbl>
      <w:tblPr>
        <w:tblStyle w:val="TableGrid"/>
        <w:tblW w:type="auto" w:w="0"/>
        <w:tblLook w:firstColumn="1" w:firstRow="1" w:lastColumn="0" w:lastRow="0" w:noHBand="0" w:noVBand="1" w:val="04A0"/>
      </w:tblPr>
      <w:tblGrid>
        <w:gridCol w:w="1728"/>
        <w:gridCol w:w="1728"/>
        <w:gridCol w:w="1728"/>
        <w:gridCol w:w="1728"/>
        <w:gridCol w:w="1728"/>
      </w:tblGrid>
      <w:tr>
        <w:tc>
          <w:tcPr>
            <w:tcW w:type="dxa" w:w="1728"/>
            <w:shd w:fill="F4CCCC"/>
          </w:tcPr>
          <w:p>
            <w:r>
              <w:t>Risque</w:t>
            </w:r>
          </w:p>
        </w:tc>
        <w:tc>
          <w:tcPr>
            <w:tcW w:type="dxa" w:w="1728"/>
            <w:shd w:fill="F4CCCC"/>
          </w:tcPr>
          <w:p>
            <w:r>
              <w:t>Cause</w:t>
            </w:r>
          </w:p>
        </w:tc>
        <w:tc>
          <w:tcPr>
            <w:tcW w:type="dxa" w:w="1728"/>
            <w:shd w:fill="F4CCCC"/>
          </w:tcPr>
          <w:p>
            <w:r>
              <w:t>Impact</w:t>
            </w:r>
          </w:p>
        </w:tc>
        <w:tc>
          <w:tcPr>
            <w:tcW w:type="dxa" w:w="1728"/>
            <w:shd w:fill="F4CCCC"/>
          </w:tcPr>
          <w:p>
            <w:r>
              <w:t>Probabilité</w:t>
            </w:r>
          </w:p>
        </w:tc>
        <w:tc>
          <w:tcPr>
            <w:tcW w:type="dxa" w:w="1728"/>
            <w:shd w:fill="F4CCCC"/>
          </w:tcPr>
          <w:p>
            <w:r>
              <w:t>Mesure</w:t>
            </w:r>
          </w:p>
        </w:tc>
      </w:tr>
      <w:tr>
        <w:tc>
          <w:tcPr>
            <w:tcW w:type="dxa" w:w="1728"/>
          </w:tcPr>
          <w:p>
            <w:r>
              <w:t>Retard fournisseur</w:t>
            </w:r>
          </w:p>
        </w:tc>
        <w:tc>
          <w:tcPr>
            <w:tcW w:type="dxa" w:w="1728"/>
          </w:tcPr>
          <w:p>
            <w:r>
              <w:t>Charge</w:t>
            </w:r>
          </w:p>
        </w:tc>
        <w:tc>
          <w:tcPr>
            <w:tcW w:type="dxa" w:w="1728"/>
          </w:tcPr>
          <w:p>
            <w:r>
              <w:t>Fort</w:t>
            </w:r>
          </w:p>
        </w:tc>
        <w:tc>
          <w:tcPr>
            <w:tcW w:type="dxa" w:w="1728"/>
          </w:tcPr>
          <w:p>
            <w:r>
              <w:t>Moyenne</w:t>
            </w:r>
          </w:p>
        </w:tc>
        <w:tc>
          <w:tcPr>
            <w:tcW w:type="dxa" w:w="1728"/>
          </w:tcPr>
          <w:p>
            <w:r>
              <w:t>Plan B activé</w:t>
            </w:r>
          </w:p>
        </w:tc>
      </w:tr>
      <w:tr>
        <w:tc>
          <w:tcPr>
            <w:tcW w:type="dxa" w:w="1728"/>
          </w:tcPr>
          <w:p>
            <w:r>
              <w:t>Résistance au changement</w:t>
            </w:r>
          </w:p>
        </w:tc>
        <w:tc>
          <w:tcPr>
            <w:tcW w:type="dxa" w:w="1728"/>
          </w:tcPr>
          <w:p>
            <w:r>
              <w:t>Habitudes</w:t>
            </w:r>
          </w:p>
        </w:tc>
        <w:tc>
          <w:tcPr>
            <w:tcW w:type="dxa" w:w="1728"/>
          </w:tcPr>
          <w:p>
            <w:r>
              <w:t>Moyen</w:t>
            </w:r>
          </w:p>
        </w:tc>
        <w:tc>
          <w:tcPr>
            <w:tcW w:type="dxa" w:w="1728"/>
          </w:tcPr>
          <w:p>
            <w:r>
              <w:t>Élevée</w:t>
            </w:r>
          </w:p>
        </w:tc>
        <w:tc>
          <w:tcPr>
            <w:tcW w:type="dxa" w:w="1728"/>
          </w:tcPr>
          <w:p>
            <w:r>
              <w:t>Formation renforcée</w:t>
            </w:r>
          </w:p>
        </w:tc>
      </w:tr>
      <w:tr>
        <w:tc>
          <w:tcPr>
            <w:tcW w:type="dxa" w:w="1728"/>
          </w:tcPr>
          <w:p>
            <w:r>
              <w:t>Bugs d'interface</w:t>
            </w:r>
          </w:p>
        </w:tc>
        <w:tc>
          <w:tcPr>
            <w:tcW w:type="dxa" w:w="1728"/>
          </w:tcPr>
          <w:p>
            <w:r>
              <w:t>Complexité</w:t>
            </w:r>
          </w:p>
        </w:tc>
        <w:tc>
          <w:tcPr>
            <w:tcW w:type="dxa" w:w="1728"/>
          </w:tcPr>
          <w:p>
            <w:r>
              <w:t>Fort</w:t>
            </w:r>
          </w:p>
        </w:tc>
        <w:tc>
          <w:tcPr>
            <w:tcW w:type="dxa" w:w="1728"/>
          </w:tcPr>
          <w:p>
            <w:r>
              <w:t>Faible</w:t>
            </w:r>
          </w:p>
        </w:tc>
        <w:tc>
          <w:tcPr>
            <w:tcW w:type="dxa" w:w="1728"/>
          </w:tcPr>
          <w:p>
            <w:r>
              <w:t>Recette étendue</w:t>
            </w:r>
          </w:p>
        </w:tc>
      </w:tr>
      <w:tr>
        <w:tc>
          <w:tcPr>
            <w:tcW w:type="dxa" w:w="1728"/>
          </w:tcPr>
          <w:p>
            <w:r>
              <w:t>Dérive planning</w:t>
            </w:r>
          </w:p>
        </w:tc>
        <w:tc>
          <w:tcPr>
            <w:tcW w:type="dxa" w:w="1728"/>
          </w:tcPr>
          <w:p>
            <w:r>
              <w:t>Disponibilité</w:t>
            </w:r>
          </w:p>
        </w:tc>
        <w:tc>
          <w:tcPr>
            <w:tcW w:type="dxa" w:w="1728"/>
          </w:tcPr>
          <w:p>
            <w:r>
              <w:t>Moyen</w:t>
            </w:r>
          </w:p>
        </w:tc>
        <w:tc>
          <w:tcPr>
            <w:tcW w:type="dxa" w:w="1728"/>
          </w:tcPr>
          <w:p>
            <w:r>
              <w:t>Moyenne</w:t>
            </w:r>
          </w:p>
        </w:tc>
        <w:tc>
          <w:tcPr>
            <w:tcW w:type="dxa" w:w="1728"/>
          </w:tcPr>
          <w:p>
            <w:r>
              <w:t>Suivi hebdomadaire</w:t>
            </w:r>
          </w:p>
        </w:tc>
      </w:tr>
    </w:tbl>
    <w:p>
      <w:pPr>
        <w:pStyle w:val="Heading1"/>
      </w:pPr>
      <w:r>
        <w:rPr>
          <w:color w:val="1F4E79"/>
        </w:rPr>
        <w:t>8. Opportunités</w:t>
      </w:r>
    </w:p>
    <w:p>
      <w:pPr>
        <w:pStyle w:val="ListBullet"/>
      </w:pPr>
      <w:r>
        <w:t>Automatisation des validations et diminution des tâches répétitives.</w:t>
      </w:r>
    </w:p>
    <w:p>
      <w:pPr>
        <w:pStyle w:val="ListBullet"/>
      </w:pPr>
      <w:r>
        <w:t>Amélioration de la qualité des données décisionnelles.</w:t>
      </w:r>
    </w:p>
    <w:p>
      <w:pPr>
        <w:pStyle w:val="ListBullet"/>
      </w:pPr>
      <w:r>
        <w:t>Réduction des délais de clôture financière.</w:t>
      </w:r>
    </w:p>
    <w:p>
      <w:pPr>
        <w:pStyle w:val="ListBullet"/>
      </w:pPr>
      <w:r>
        <w:t>Pilotage en temps réel grâce aux tableaux de bord.</w:t>
      </w:r>
    </w:p>
    <w:p>
      <w:pPr>
        <w:pStyle w:val="ListBullet"/>
      </w:pPr>
      <w:r>
        <w:t>Renforcement de la collaboration entre les métiers.</w:t>
      </w:r>
    </w:p>
    <w:p>
      <w:pPr>
        <w:pStyle w:val="Heading1"/>
      </w:pPr>
      <w:r>
        <w:rPr>
          <w:color w:val="1F4E79"/>
        </w:rPr>
        <w:t>9. Parties prenantes</w:t>
      </w:r>
    </w:p>
    <w:tbl>
      <w:tblPr>
        <w:tblStyle w:val="TableGrid"/>
        <w:tblW w:type="auto" w:w="0"/>
        <w:tblLook w:firstColumn="1" w:firstRow="1" w:lastColumn="0" w:lastRow="0" w:noHBand="0" w:noVBand="1" w:val="04A0"/>
      </w:tblPr>
      <w:tblGrid>
        <w:gridCol w:w="2880"/>
        <w:gridCol w:w="2880"/>
        <w:gridCol w:w="2880"/>
      </w:tblGrid>
      <w:tr>
        <w:tc>
          <w:tcPr>
            <w:tcW w:type="dxa" w:w="2880"/>
            <w:shd w:fill="D9EAF7"/>
          </w:tcPr>
          <w:p>
            <w:r>
              <w:t>Acteur</w:t>
            </w:r>
          </w:p>
        </w:tc>
        <w:tc>
          <w:tcPr>
            <w:tcW w:type="dxa" w:w="2880"/>
            <w:shd w:fill="D9EAF7"/>
          </w:tcPr>
          <w:p>
            <w:r>
              <w:t>Attente</w:t>
            </w:r>
          </w:p>
        </w:tc>
        <w:tc>
          <w:tcPr>
            <w:tcW w:type="dxa" w:w="2880"/>
            <w:shd w:fill="D9EAF7"/>
          </w:tcPr>
          <w:p>
            <w:r>
              <w:t>Influence</w:t>
            </w:r>
          </w:p>
        </w:tc>
      </w:tr>
      <w:tr>
        <w:tc>
          <w:tcPr>
            <w:tcW w:type="dxa" w:w="2880"/>
          </w:tcPr>
          <w:p>
            <w:r>
              <w:t>Direction Générale</w:t>
            </w:r>
          </w:p>
        </w:tc>
        <w:tc>
          <w:tcPr>
            <w:tcW w:type="dxa" w:w="2880"/>
          </w:tcPr>
          <w:p>
            <w:r>
              <w:t>ROI</w:t>
            </w:r>
          </w:p>
        </w:tc>
        <w:tc>
          <w:tcPr>
            <w:tcW w:type="dxa" w:w="2880"/>
          </w:tcPr>
          <w:p>
            <w:r>
              <w:t>Très forte</w:t>
            </w:r>
          </w:p>
        </w:tc>
      </w:tr>
      <w:tr>
        <w:tc>
          <w:tcPr>
            <w:tcW w:type="dxa" w:w="2880"/>
          </w:tcPr>
          <w:p>
            <w:r>
              <w:t>DSI</w:t>
            </w:r>
          </w:p>
        </w:tc>
        <w:tc>
          <w:tcPr>
            <w:tcW w:type="dxa" w:w="2880"/>
          </w:tcPr>
          <w:p>
            <w:r>
              <w:t>Stabilité</w:t>
            </w:r>
          </w:p>
        </w:tc>
        <w:tc>
          <w:tcPr>
            <w:tcW w:type="dxa" w:w="2880"/>
          </w:tcPr>
          <w:p>
            <w:r>
              <w:t>Très forte</w:t>
            </w:r>
          </w:p>
        </w:tc>
      </w:tr>
      <w:tr>
        <w:tc>
          <w:tcPr>
            <w:tcW w:type="dxa" w:w="2880"/>
          </w:tcPr>
          <w:p>
            <w:r>
              <w:t>Finance</w:t>
            </w:r>
          </w:p>
        </w:tc>
        <w:tc>
          <w:tcPr>
            <w:tcW w:type="dxa" w:w="2880"/>
          </w:tcPr>
          <w:p>
            <w:r>
              <w:t>Budget</w:t>
            </w:r>
          </w:p>
        </w:tc>
        <w:tc>
          <w:tcPr>
            <w:tcW w:type="dxa" w:w="2880"/>
          </w:tcPr>
          <w:p>
            <w:r>
              <w:t>Forte</w:t>
            </w:r>
          </w:p>
        </w:tc>
      </w:tr>
      <w:tr>
        <w:tc>
          <w:tcPr>
            <w:tcW w:type="dxa" w:w="2880"/>
          </w:tcPr>
          <w:p>
            <w:r>
              <w:t>Métiers</w:t>
            </w:r>
          </w:p>
        </w:tc>
        <w:tc>
          <w:tcPr>
            <w:tcW w:type="dxa" w:w="2880"/>
          </w:tcPr>
          <w:p>
            <w:r>
              <w:t>Simplicité</w:t>
            </w:r>
          </w:p>
        </w:tc>
        <w:tc>
          <w:tcPr>
            <w:tcW w:type="dxa" w:w="2880"/>
          </w:tcPr>
          <w:p>
            <w:r>
              <w:t>Forte</w:t>
            </w:r>
          </w:p>
        </w:tc>
      </w:tr>
      <w:tr>
        <w:tc>
          <w:tcPr>
            <w:tcW w:type="dxa" w:w="2880"/>
          </w:tcPr>
          <w:p>
            <w:r>
              <w:t>RH</w:t>
            </w:r>
          </w:p>
        </w:tc>
        <w:tc>
          <w:tcPr>
            <w:tcW w:type="dxa" w:w="2880"/>
          </w:tcPr>
          <w:p>
            <w:r>
              <w:t>Formation</w:t>
            </w:r>
          </w:p>
        </w:tc>
        <w:tc>
          <w:tcPr>
            <w:tcW w:type="dxa" w:w="2880"/>
          </w:tcPr>
          <w:p>
            <w:r>
              <w:t>Moyenne</w:t>
            </w:r>
          </w:p>
        </w:tc>
      </w:tr>
    </w:tbl>
    <w:p>
      <w:pPr>
        <w:pStyle w:val="Heading1"/>
      </w:pPr>
      <w:r>
        <w:rPr>
          <w:color w:val="1F4E79"/>
        </w:rPr>
        <w:t>10. Décisions attendues</w:t>
      </w:r>
    </w:p>
    <w:p>
      <w:r>
        <w:t>☐ Valider le planning révisé.</w:t>
      </w:r>
    </w:p>
    <w:p>
      <w:r>
        <w:t>☐ Confirmer le budget complémentaire.</w:t>
      </w:r>
    </w:p>
    <w:p>
      <w:r>
        <w:t>☐ Autoriser la recette générale.</w:t>
      </w:r>
    </w:p>
    <w:p>
      <w:r>
        <w:t>☐ Valider le plan de formation.</w:t>
      </w:r>
    </w:p>
    <w:p>
      <w:r>
        <w:t>☐ Confirmer la date de mise en production.</w:t>
      </w:r>
    </w:p>
    <w:p>
      <w:pPr>
        <w:pStyle w:val="Heading1"/>
      </w:pPr>
      <w:r>
        <w:rPr>
          <w:color w:val="1F4E79"/>
        </w:rPr>
        <w:t>11. Recommandations</w:t>
      </w:r>
    </w:p>
    <w:p>
      <w:r>
        <w:t>Il est recommandé de maintenir un suivi hebdomadaire des risques, d'impliquer davantage les référents métiers durant la recette, de poursuivre les actions de conduite du changement et de préparer un dispositif d'assistance renforcé durant les premières semaines suivant la mise en production.</w:t>
      </w:r>
    </w:p>
    <w:p>
      <w:pPr>
        <w:pStyle w:val="Heading1"/>
      </w:pPr>
      <w:r>
        <w:rPr>
          <w:color w:val="1F4E79"/>
        </w:rPr>
        <w:t>12. Conclusion</w:t>
      </w:r>
    </w:p>
    <w:p>
      <w:r>
        <w:t>Le projet avance de manière satisfaisante et reste aligné sur les objectifs stratégiques fixés par la direction. Les principaux indicateurs montrent une bonne maîtrise du budget, une qualité élevée des développements et une implication croissante des équipes. Les dernières étapes doivent désormais sécuriser la recette, la formation et la mise en production. En validant les arbitrages proposés, le comité permettra d'engager la phase finale dans des conditions favorables tout en maintenant un suivi étroit des risques et des performances.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