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1F4E79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EXEMPLE DE NOTE DE SYNTHÈSE ADMINISTRATIVE</w:t>
              <w:br/>
              <w:t>Modèle Word détaillé</w:t>
            </w:r>
          </w:p>
        </w:tc>
      </w:tr>
    </w:tbl>
    <w:p>
      <w:pPr>
        <w:jc w:val="center"/>
      </w:pPr>
      <w:r>
        <w:rPr>
          <w:i/>
        </w:rPr>
        <w:t>Exemple : Réorganisation de l'accueil du public dans une mairie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D9EAF7"/>
          </w:tcPr>
          <w:p>
            <w:r>
              <w:t>Émetteur</w:t>
            </w:r>
          </w:p>
        </w:tc>
        <w:tc>
          <w:tcPr>
            <w:tcW w:type="dxa" w:w="1728"/>
            <w:shd w:fill="D9EAF7"/>
          </w:tcPr>
          <w:p>
            <w:r>
              <w:t>Destinataire</w:t>
            </w:r>
          </w:p>
        </w:tc>
        <w:tc>
          <w:tcPr>
            <w:tcW w:type="dxa" w:w="1728"/>
            <w:shd w:fill="D9EAF7"/>
          </w:tcPr>
          <w:p>
            <w:r>
              <w:t>Objet</w:t>
            </w:r>
          </w:p>
        </w:tc>
        <w:tc>
          <w:tcPr>
            <w:tcW w:type="dxa" w:w="1728"/>
            <w:shd w:fill="D9EAF7"/>
          </w:tcPr>
          <w:p>
            <w:r>
              <w:t>Date</w:t>
            </w:r>
          </w:p>
        </w:tc>
        <w:tc>
          <w:tcPr>
            <w:tcW w:type="dxa" w:w="1728"/>
            <w:shd w:fill="D9EAF7"/>
          </w:tcPr>
          <w:p>
            <w:r>
              <w:t>Réf.</w:t>
            </w:r>
          </w:p>
        </w:tc>
      </w:tr>
      <w:tr>
        <w:tc>
          <w:tcPr>
            <w:tcW w:type="dxa" w:w="1728"/>
          </w:tcPr>
          <w:p>
            <w:r>
              <w:t>Direction des Services</w:t>
            </w:r>
          </w:p>
        </w:tc>
        <w:tc>
          <w:tcPr>
            <w:tcW w:type="dxa" w:w="1728"/>
          </w:tcPr>
          <w:p>
            <w:r>
              <w:t>Monsieur le Maire</w:t>
            </w:r>
          </w:p>
        </w:tc>
        <w:tc>
          <w:tcPr>
            <w:tcW w:type="dxa" w:w="1728"/>
          </w:tcPr>
          <w:p>
            <w:r>
              <w:t>Réorganisation de l'accueil</w:t>
            </w:r>
          </w:p>
        </w:tc>
        <w:tc>
          <w:tcPr>
            <w:tcW w:type="dxa" w:w="1728"/>
          </w:tcPr>
          <w:p>
            <w:r>
              <w:t>15/07/2026</w:t>
            </w:r>
          </w:p>
        </w:tc>
        <w:tc>
          <w:tcPr>
            <w:tcW w:type="dxa" w:w="1728"/>
          </w:tcPr>
          <w:p>
            <w:r>
              <w:t>NSA-2026-014</w:t>
            </w:r>
          </w:p>
        </w:tc>
      </w:tr>
    </w:tbl>
    <w:p>
      <w:pPr>
        <w:pStyle w:val="Heading1"/>
      </w:pPr>
      <w:r>
        <w:rPr>
          <w:color w:val="1F4E79"/>
        </w:rPr>
        <w:t>1. Objet de la note</w:t>
      </w:r>
    </w:p>
    <w:p>
      <w:r>
        <w:t>Cette note présente une synthèse des constats, des contraintes et des propositions relatives à la réorganisation de l'accueil du public afin d'améliorer la qualité du service, de réduire les délais d'attente et d'optimiser l'utilisation des ressources humaines.</w:t>
      </w:r>
    </w:p>
    <w:p>
      <w:pPr>
        <w:pStyle w:val="Heading1"/>
      </w:pPr>
      <w:r>
        <w:rPr>
          <w:color w:val="1F4E79"/>
        </w:rPr>
        <w:t>2. Contexte</w:t>
      </w:r>
    </w:p>
    <w:p>
      <w:r>
        <w:t>L'analyse menée durant les trois derniers mois met en évidence une hausse de la fréquentation de 18 %, des temps d'attente pouvant dépasser 35 minutes aux heures de pointe et une forte sollicitation des agents. Plusieurs usagers ont exprimé des difficultés à identifier les bons interlocuteurs, tandis que les équipes signalent un manque de coordination entre les guichets.</w:t>
      </w:r>
    </w:p>
    <w:p>
      <w:pPr>
        <w:pStyle w:val="Heading1"/>
      </w:pPr>
      <w:r>
        <w:rPr>
          <w:color w:val="1F4E79"/>
        </w:rPr>
        <w:t>3. Documents analysés</w:t>
      </w:r>
    </w:p>
    <w:p>
      <w:r>
        <w:t>• Statistiques de fréquentation</w:t>
        <w:br/>
        <w:t>• Comptes rendus de réunions</w:t>
        <w:br/>
        <w:t>• Réclamations des usagers</w:t>
        <w:br/>
        <w:t>• Rapport d'audit interne</w:t>
        <w:br/>
        <w:t>• Planning des agents</w:t>
        <w:br/>
        <w:t>• Enquête de satisfaction</w:t>
      </w:r>
    </w:p>
    <w:p>
      <w:pPr>
        <w:pStyle w:val="Heading1"/>
      </w:pPr>
      <w:r>
        <w:rPr>
          <w:color w:val="1F4E79"/>
        </w:rPr>
        <w:t>4. Constats</w:t>
      </w:r>
    </w:p>
    <w:p>
      <w:r>
        <w:t>• Files d'attente irrégulières.</w:t>
        <w:br/>
        <w:t>• Répartition inégale des effectifs.</w:t>
        <w:br/>
        <w:t>• Signalétique perfectible.</w:t>
        <w:br/>
        <w:t>• Outils numériques sous-utilisés.</w:t>
        <w:br/>
        <w:t>• Horaires concentrant un pic d'activité.</w:t>
      </w:r>
    </w:p>
    <w:p>
      <w:pPr>
        <w:pStyle w:val="Heading1"/>
      </w:pPr>
      <w:r>
        <w:rPr>
          <w:color w:val="1F4E79"/>
        </w:rPr>
        <w:t>5. Analyse</w:t>
      </w:r>
    </w:p>
    <w:p>
      <w:r>
        <w:t>L'étude montre que la principale difficulté provient davantage de l'organisation des flux que d'un manque d'effectif. Une meilleure orientation des visiteurs, l'ouverture d'un guichet polyvalent et la prise de rendez-vous en ligne permettraient d'améliorer sensiblement la qualité d'accueil.</w:t>
      </w:r>
    </w:p>
    <w:p>
      <w:pPr>
        <w:pStyle w:val="Heading1"/>
      </w:pPr>
      <w:r>
        <w:rPr>
          <w:color w:val="1F4E79"/>
        </w:rPr>
        <w:t>6. Scénarios étudiés</w:t>
      </w:r>
    </w:p>
    <w:p>
      <w:r>
        <w:t>Scénario 1 : maintien de l'organisation actuelle.</w:t>
        <w:br/>
        <w:t>Scénario 2 : renforcement ponctuel des effectifs.</w:t>
        <w:br/>
        <w:t>Scénario 3 : réorganisation des guichets, rendez-vous en ligne et signalétique renforcée (solution recommandée).</w:t>
      </w:r>
    </w:p>
    <w:p>
      <w:pPr>
        <w:pStyle w:val="Heading1"/>
      </w:pPr>
      <w:r>
        <w:rPr>
          <w:color w:val="1F4E79"/>
        </w:rPr>
        <w:t>7. Impacts attendus</w:t>
      </w:r>
    </w:p>
    <w:p>
      <w:r>
        <w:t>• Réduction du temps d'attente estimée à 25 %.</w:t>
        <w:br/>
        <w:t>• Meilleure satisfaction des usagers.</w:t>
        <w:br/>
        <w:t>• Fluidification des démarches.</w:t>
        <w:br/>
        <w:t>• Valorisation du travail des agents.</w:t>
        <w:br/>
        <w:t>• Meilleure traçabilité des demandes.</w:t>
      </w:r>
    </w:p>
    <w:p>
      <w:pPr>
        <w:pStyle w:val="Heading1"/>
      </w:pPr>
      <w:r>
        <w:rPr>
          <w:color w:val="1F4E79"/>
        </w:rPr>
        <w:t>8. Recommandations</w:t>
      </w:r>
    </w:p>
    <w:p>
      <w:r>
        <w:t>• Déployer un guichet d'information unique.</w:t>
        <w:br/>
        <w:t>• Réviser les horaires d'ouverture selon les pics de fréquentation.</w:t>
        <w:br/>
        <w:t>• Généraliser la prise de rendez-vous en ligne.</w:t>
        <w:br/>
        <w:t>• Former les agents à l'accueil polyvalent.</w:t>
        <w:br/>
        <w:t>• Suivre mensuellement les indicateurs.</w:t>
      </w:r>
    </w:p>
    <w:p>
      <w:pPr>
        <w:pStyle w:val="Heading1"/>
      </w:pPr>
      <w:r>
        <w:rPr>
          <w:color w:val="1F4E79"/>
        </w:rPr>
        <w:t>9. Décision proposée</w:t>
      </w:r>
    </w:p>
    <w:p>
      <w:r>
        <w:t>Valider le scénario n°3 et lancer une phase pilote de trois mois avant généralisation à l'ensemble des services.</w:t>
      </w:r>
    </w:p>
    <w:p>
      <w:pPr>
        <w:pStyle w:val="Heading1"/>
      </w:pPr>
      <w:r>
        <w:rPr>
          <w:color w:val="1F4E79"/>
        </w:rPr>
        <w:t>10. Conclusion</w:t>
      </w:r>
    </w:p>
    <w:p>
      <w:r>
        <w:t>La réorganisation proposée répond aux attentes des usagers tout en améliorant les conditions de travail des équipes. Les investissements restent limités et les bénéfices attendus sont mesurables grâce à des indicateurs de suivi.</w:t>
      </w:r>
    </w:p>
    <w:p>
      <w:pPr>
        <w:pStyle w:val="Heading1"/>
      </w:pPr>
      <w:r>
        <w:t>Tableau de suivi des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D9EAD3"/>
          </w:tcPr>
          <w:p>
            <w:r>
              <w:t>Action</w:t>
            </w:r>
          </w:p>
        </w:tc>
        <w:tc>
          <w:tcPr>
            <w:tcW w:type="dxa" w:w="1728"/>
            <w:shd w:fill="D9EAD3"/>
          </w:tcPr>
          <w:p>
            <w:r>
              <w:t>Responsable</w:t>
            </w:r>
          </w:p>
        </w:tc>
        <w:tc>
          <w:tcPr>
            <w:tcW w:type="dxa" w:w="1728"/>
            <w:shd w:fill="D9EAD3"/>
          </w:tcPr>
          <w:p>
            <w:r>
              <w:t>Échéance</w:t>
            </w:r>
          </w:p>
        </w:tc>
        <w:tc>
          <w:tcPr>
            <w:tcW w:type="dxa" w:w="1728"/>
            <w:shd w:fill="D9EAD3"/>
          </w:tcPr>
          <w:p>
            <w:r>
              <w:t>Priorité</w:t>
            </w:r>
          </w:p>
        </w:tc>
        <w:tc>
          <w:tcPr>
            <w:tcW w:type="dxa" w:w="1728"/>
            <w:shd w:fill="D9EAD3"/>
          </w:tcPr>
          <w:p>
            <w:r>
              <w:t>État</w:t>
            </w:r>
          </w:p>
        </w:tc>
      </w:tr>
      <w:tr>
        <w:tc>
          <w:tcPr>
            <w:tcW w:type="dxa" w:w="1728"/>
          </w:tcPr>
          <w:p>
            <w:r>
              <w:t>Créer un guichet unique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01/09/2026</w:t>
            </w:r>
          </w:p>
        </w:tc>
        <w:tc>
          <w:tcPr>
            <w:tcW w:type="dxa" w:w="1728"/>
          </w:tcPr>
          <w:p>
            <w:r>
              <w:t>Haute</w:t>
            </w:r>
          </w:p>
        </w:tc>
        <w:tc>
          <w:tcPr>
            <w:tcW w:type="dxa" w:w="1728"/>
          </w:tcPr>
          <w:p>
            <w:r>
              <w:t>À lancer</w:t>
            </w:r>
          </w:p>
        </w:tc>
      </w:tr>
      <w:tr>
        <w:tc>
          <w:tcPr>
            <w:tcW w:type="dxa" w:w="1728"/>
          </w:tcPr>
          <w:p>
            <w:r>
              <w:t>Installer une signalétique</w:t>
            </w:r>
          </w:p>
        </w:tc>
        <w:tc>
          <w:tcPr>
            <w:tcW w:type="dxa" w:w="1728"/>
          </w:tcPr>
          <w:p>
            <w:r>
              <w:t>Services techniques</w:t>
            </w:r>
          </w:p>
        </w:tc>
        <w:tc>
          <w:tcPr>
            <w:tcW w:type="dxa" w:w="1728"/>
          </w:tcPr>
          <w:p>
            <w:r>
              <w:t>15/09/2026</w:t>
            </w:r>
          </w:p>
        </w:tc>
        <w:tc>
          <w:tcPr>
            <w:tcW w:type="dxa" w:w="1728"/>
          </w:tcPr>
          <w:p>
            <w:r>
              <w:t>Moyenne</w:t>
            </w:r>
          </w:p>
        </w:tc>
        <w:tc>
          <w:tcPr>
            <w:tcW w:type="dxa" w:w="1728"/>
          </w:tcPr>
          <w:p>
            <w:r>
              <w:t>Planifié</w:t>
            </w:r>
          </w:p>
        </w:tc>
      </w:tr>
      <w:tr>
        <w:tc>
          <w:tcPr>
            <w:tcW w:type="dxa" w:w="1728"/>
          </w:tcPr>
          <w:p>
            <w:r>
              <w:t>Former les agents</w:t>
            </w:r>
          </w:p>
        </w:tc>
        <w:tc>
          <w:tcPr>
            <w:tcW w:type="dxa" w:w="1728"/>
          </w:tcPr>
          <w:p>
            <w:r>
              <w:t>RH</w:t>
            </w:r>
          </w:p>
        </w:tc>
        <w:tc>
          <w:tcPr>
            <w:tcW w:type="dxa" w:w="1728"/>
          </w:tcPr>
          <w:p>
            <w:r>
              <w:t>30/09/2026</w:t>
            </w:r>
          </w:p>
        </w:tc>
        <w:tc>
          <w:tcPr>
            <w:tcW w:type="dxa" w:w="1728"/>
          </w:tcPr>
          <w:p>
            <w:r>
              <w:t>Haute</w:t>
            </w:r>
          </w:p>
        </w:tc>
        <w:tc>
          <w:tcPr>
            <w:tcW w:type="dxa" w:w="1728"/>
          </w:tcPr>
          <w:p>
            <w:r>
              <w:t>Prévu</w:t>
            </w:r>
          </w:p>
        </w:tc>
      </w:tr>
      <w:tr>
        <w:tc>
          <w:tcPr>
            <w:tcW w:type="dxa" w:w="1728"/>
          </w:tcPr>
          <w:p>
            <w:r>
              <w:t>Mettre en place les rendez-vous</w:t>
            </w:r>
          </w:p>
        </w:tc>
        <w:tc>
          <w:tcPr>
            <w:tcW w:type="dxa" w:w="1728"/>
          </w:tcPr>
          <w:p>
            <w:r>
              <w:t>DSI</w:t>
            </w:r>
          </w:p>
        </w:tc>
        <w:tc>
          <w:tcPr>
            <w:tcW w:type="dxa" w:w="1728"/>
          </w:tcPr>
          <w:p>
            <w:r>
              <w:t>15/10/2026</w:t>
            </w:r>
          </w:p>
        </w:tc>
        <w:tc>
          <w:tcPr>
            <w:tcW w:type="dxa" w:w="1728"/>
          </w:tcPr>
          <w:p>
            <w:r>
              <w:t>Haute</w:t>
            </w:r>
          </w:p>
        </w:tc>
        <w:tc>
          <w:tcPr>
            <w:tcW w:type="dxa" w:w="1728"/>
          </w:tcPr>
          <w:p>
            <w:r>
              <w:t>Prévu</w:t>
            </w:r>
          </w:p>
        </w:tc>
      </w:tr>
    </w:tbl>
    <w:p>
      <w:pPr>
        <w:pStyle w:val="Heading1"/>
      </w:pPr>
      <w:r>
        <w:t>Indicateurs de suivi</w:t>
      </w:r>
    </w:p>
    <w:p>
      <w:pPr>
        <w:pStyle w:val="ListBullet"/>
      </w:pPr>
      <w:r>
        <w:t>Temps moyen d'attente</w:t>
      </w:r>
    </w:p>
    <w:p>
      <w:pPr>
        <w:pStyle w:val="ListBullet"/>
      </w:pPr>
      <w:r>
        <w:t>Taux de satisfaction des usagers</w:t>
      </w:r>
    </w:p>
    <w:p>
      <w:pPr>
        <w:pStyle w:val="ListBullet"/>
      </w:pPr>
      <w:r>
        <w:t>Nombre de dossiers traités par jour</w:t>
      </w:r>
    </w:p>
    <w:p>
      <w:pPr>
        <w:pStyle w:val="ListBullet"/>
      </w:pPr>
      <w:r>
        <w:t>Taux de rendez-vous honorés</w:t>
      </w:r>
    </w:p>
    <w:p>
      <w:pPr>
        <w:pStyle w:val="ListBullet"/>
      </w:pPr>
      <w:r>
        <w:t>Réclamations mensuelles</w:t>
      </w:r>
    </w:p>
    <w:p>
      <w:pPr>
        <w:pStyle w:val="ListBullet"/>
      </w:pPr>
      <w:r>
        <w:t>Temps moyen de traitement d'une demande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