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RÈGLEMENT INTÉRIEUR DU COMITÉ SOCIAL ET ÉCONOMIQUE (CSE)</w:t>
      </w:r>
    </w:p>
    <w:p>
      <w:r>
        <w:rPr>
          <w:b/>
        </w:rPr>
        <w:t xml:space="preserve">Entreprise : </w:t>
      </w:r>
      <w:r>
        <w:t>EXEMPLE INDUSTRIE SAS</w:t>
        <w:br/>
      </w:r>
      <w:r>
        <w:rPr>
          <w:b/>
        </w:rPr>
        <w:t xml:space="preserve">Effectif : </w:t>
      </w:r>
      <w:r>
        <w:t>180 salariés</w:t>
        <w:br/>
      </w:r>
      <w:r>
        <w:rPr>
          <w:b/>
        </w:rPr>
        <w:t xml:space="preserve">Date d'adoption : </w:t>
      </w:r>
      <w:r>
        <w:t>15 septembre 2026</w:t>
        <w:br/>
      </w:r>
      <w:r>
        <w:rPr>
          <w:b/>
        </w:rPr>
        <w:t xml:space="preserve">Durée du mandat : </w:t>
      </w:r>
      <w:r>
        <w:t>4 ans</w:t>
      </w:r>
    </w:p>
    <w:p>
      <w:pPr>
        <w:pStyle w:val="Heading1"/>
      </w:pPr>
      <w:r>
        <w:t>Préambule</w:t>
      </w:r>
    </w:p>
    <w:p>
      <w:r>
        <w:t>Le présent règlement intérieur fixe les règles de fonctionnement du Comité Social et Économique (CSE) d'EXEMPLE INDUSTRIE SAS. Il complète les dispositions du Code du travail et s'impose à l'ensemble des membres du Comité dans l'exercice de leurs missions.</w:t>
      </w:r>
    </w:p>
    <w:p>
      <w:pPr>
        <w:pStyle w:val="Heading1"/>
      </w:pPr>
      <w:r>
        <w:t>Article 1 – Objet</w:t>
      </w:r>
    </w:p>
    <w:p>
      <w:r>
        <w:t>Le règlement précise l'organisation du CSE, les modalités de réunion, de vote, de gestion des budgets et de conservation des documents.</w:t>
      </w:r>
    </w:p>
    <w:p>
      <w:pPr>
        <w:pStyle w:val="Heading1"/>
      </w:pPr>
      <w:r>
        <w:t>Article 2 – Composition</w:t>
      </w:r>
    </w:p>
    <w:p>
      <w:r>
        <w:t>Le CSE comprend le Président, 8 membres titulaires, 8 suppléants, un Secrétaire et un Trésorier élus parmi les membres titulaires.</w:t>
      </w:r>
    </w:p>
    <w:p>
      <w:pPr>
        <w:pStyle w:val="Heading1"/>
      </w:pPr>
      <w:r>
        <w:t>Article 3 – Réunions</w:t>
      </w:r>
    </w:p>
    <w:p>
      <w:r>
        <w:t>Le CSE se réunit une fois par mois. Les convocations et l'ordre du jour sont adressés au moins trois jours avant la réunion.</w:t>
      </w:r>
    </w:p>
    <w:p>
      <w:pPr>
        <w:pStyle w:val="Heading1"/>
      </w:pPr>
      <w:r>
        <w:t>Article 4 – Ordre du jour</w:t>
      </w:r>
    </w:p>
    <w:p>
      <w:r>
        <w:t>L'ordre du jour est préparé conjointement par le Président et le Secrétaire. Les questions diverses sont examinées en fin de séance.</w:t>
      </w:r>
    </w:p>
    <w:p>
      <w:pPr>
        <w:pStyle w:val="Heading1"/>
      </w:pPr>
      <w:r>
        <w:t>Article 5 – Procès-verbal</w:t>
      </w:r>
    </w:p>
    <w:p>
      <w:r>
        <w:t>Le Secrétaire rédige le procès-verbal dans un délai de quinze jours. Il est soumis à approbation lors de la réunion suivante.</w:t>
      </w:r>
    </w:p>
    <w:p>
      <w:pPr>
        <w:pStyle w:val="Heading1"/>
      </w:pPr>
      <w:r>
        <w:t>Article 6 – Votes</w:t>
      </w:r>
    </w:p>
    <w:p>
      <w:r>
        <w:t>Les décisions sont prises à la majorité des membres présents, sauf disposition légale particulière.</w:t>
      </w:r>
    </w:p>
    <w:p>
      <w:pPr>
        <w:pStyle w:val="Heading1"/>
      </w:pPr>
      <w:r>
        <w:t>Article 7 – Heures de délégation</w:t>
      </w:r>
    </w:p>
    <w:p>
      <w:r>
        <w:t>Les élus utilisent leurs heures conformément au Code du travail. Un tableau de suivi est tenu par le Secrétaire.</w:t>
      </w:r>
    </w:p>
    <w:p>
      <w:pPr>
        <w:pStyle w:val="Heading1"/>
      </w:pPr>
      <w:r>
        <w:t>Article 8 – Budget de fonctionnement</w:t>
      </w:r>
    </w:p>
    <w:p>
      <w:r>
        <w:t>Les dépenses sont engagées dans l'intérêt du fonctionnement du CSE. Toute dépense supérieure à 1 000 € doit être approuvée par délibération.</w:t>
      </w:r>
    </w:p>
    <w:p>
      <w:pPr>
        <w:pStyle w:val="Heading1"/>
      </w:pPr>
      <w:r>
        <w:t>Article 9 – Budget des ASC</w:t>
      </w:r>
    </w:p>
    <w:p>
      <w:r>
        <w:t>Les prestations sont attribuées selon des critères objectifs garantissant l'égalité de traitement des salariés.</w:t>
      </w:r>
    </w:p>
    <w:p>
      <w:pPr>
        <w:pStyle w:val="Heading1"/>
      </w:pPr>
      <w:r>
        <w:t>Article 10 – Comptabilité</w:t>
      </w:r>
    </w:p>
    <w:p>
      <w:r>
        <w:t>Le Trésorier assure le suivi des comptes, le rapprochement bancaire et l'archivage des justificatifs pendant la durée légale.</w:t>
      </w:r>
    </w:p>
    <w:p>
      <w:pPr>
        <w:pStyle w:val="Heading1"/>
      </w:pPr>
      <w:r>
        <w:t>Article 11 – Confidentialité</w:t>
      </w:r>
    </w:p>
    <w:p>
      <w:r>
        <w:t>Les membres respectent leur obligation de discrétion concernant les informations présentant un caractère confidentiel.</w:t>
      </w:r>
    </w:p>
    <w:p>
      <w:pPr>
        <w:pStyle w:val="Heading1"/>
      </w:pPr>
      <w:r>
        <w:t>Article 12 – Archivage</w:t>
      </w:r>
    </w:p>
    <w:p>
      <w:r>
        <w:t>Les convocations, procès-verbaux, délibérations, contrats et pièces comptables sont conservés dans un espace sécurisé, papier ou numérique.</w:t>
      </w:r>
    </w:p>
    <w:p>
      <w:pPr>
        <w:pStyle w:val="Heading1"/>
      </w:pPr>
      <w:r>
        <w:t>Article 13 – Modification</w:t>
      </w:r>
    </w:p>
    <w:p>
      <w:r>
        <w:t>Toute modification du présent règlement est adoptée par délibération du CSE.</w:t>
      </w:r>
    </w:p>
    <w:p>
      <w:pPr>
        <w:pStyle w:val="Heading1"/>
      </w:pPr>
      <w:r>
        <w:t>Article 14 – Entrée en vigueur</w:t>
      </w:r>
    </w:p>
    <w:p>
      <w:r>
        <w:t>Le présent règlement prend effet dès son adoption en séance plénière.</w:t>
      </w:r>
    </w:p>
    <w:p>
      <w:pPr>
        <w:pStyle w:val="Heading1"/>
      </w:pPr>
      <w:r>
        <w:t>Annexe A – Tableau de suivi des décisions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Date</w:t>
            </w:r>
          </w:p>
        </w:tc>
        <w:tc>
          <w:tcPr>
            <w:tcW w:type="dxa" w:w="1440"/>
          </w:tcPr>
          <w:p>
            <w:r>
              <w:t>Décision</w:t>
            </w:r>
          </w:p>
        </w:tc>
        <w:tc>
          <w:tcPr>
            <w:tcW w:type="dxa" w:w="1440"/>
          </w:tcPr>
          <w:p>
            <w:r>
              <w:t>Responsable</w:t>
            </w:r>
          </w:p>
        </w:tc>
        <w:tc>
          <w:tcPr>
            <w:tcW w:type="dxa" w:w="1440"/>
          </w:tcPr>
          <w:p>
            <w:r>
              <w:t>Échéance</w:t>
            </w:r>
          </w:p>
        </w:tc>
        <w:tc>
          <w:tcPr>
            <w:tcW w:type="dxa" w:w="1440"/>
          </w:tcPr>
          <w:p>
            <w:r>
              <w:t>Statut</w:t>
            </w:r>
          </w:p>
        </w:tc>
        <w:tc>
          <w:tcPr>
            <w:tcW w:type="dxa" w:w="1440"/>
          </w:tcPr>
          <w:p>
            <w:r>
              <w:t>Observation</w:t>
            </w:r>
          </w:p>
        </w:tc>
      </w:tr>
      <w:tr>
        <w:tc>
          <w:tcPr>
            <w:tcW w:type="dxa" w:w="1440"/>
          </w:tcPr>
          <w:p>
            <w:r>
              <w:t>15/09/2026</w:t>
            </w:r>
          </w:p>
        </w:tc>
        <w:tc>
          <w:tcPr>
            <w:tcW w:type="dxa" w:w="1440"/>
          </w:tcPr>
          <w:p>
            <w:r>
              <w:t>Adoption du règlement</w:t>
            </w:r>
          </w:p>
        </w:tc>
        <w:tc>
          <w:tcPr>
            <w:tcW w:type="dxa" w:w="1440"/>
          </w:tcPr>
          <w:p>
            <w:r>
              <w:t>Secrétaire</w:t>
            </w:r>
          </w:p>
        </w:tc>
        <w:tc>
          <w:tcPr>
            <w:tcW w:type="dxa" w:w="1440"/>
          </w:tcPr>
          <w:p>
            <w:r>
              <w:t>15/09/2026</w:t>
            </w:r>
          </w:p>
        </w:tc>
        <w:tc>
          <w:tcPr>
            <w:tcW w:type="dxa" w:w="1440"/>
          </w:tcPr>
          <w:p>
            <w:r>
              <w:t>Réalisé</w:t>
            </w:r>
          </w:p>
        </w:tc>
        <w:tc>
          <w:tcPr>
            <w:tcW w:type="dxa" w:w="1440"/>
          </w:tcPr>
          <w:p>
            <w:r>
              <w:t>Vote à l'unanimité</w:t>
            </w:r>
          </w:p>
        </w:tc>
      </w:tr>
      <w:tr>
        <w:tc>
          <w:tcPr>
            <w:tcW w:type="dxa" w:w="1440"/>
          </w:tcPr>
          <w:p>
            <w:r>
              <w:t>15/09/2026</w:t>
            </w:r>
          </w:p>
        </w:tc>
        <w:tc>
          <w:tcPr>
            <w:tcW w:type="dxa" w:w="1440"/>
          </w:tcPr>
          <w:p>
            <w:r>
              <w:t>Validation du budget formation</w:t>
            </w:r>
          </w:p>
        </w:tc>
        <w:tc>
          <w:tcPr>
            <w:tcW w:type="dxa" w:w="1440"/>
          </w:tcPr>
          <w:p>
            <w:r>
              <w:t>Trésorier</w:t>
            </w:r>
          </w:p>
        </w:tc>
        <w:tc>
          <w:tcPr>
            <w:tcW w:type="dxa" w:w="1440"/>
          </w:tcPr>
          <w:p>
            <w:r>
              <w:t>30/09/2026</w:t>
            </w:r>
          </w:p>
        </w:tc>
        <w:tc>
          <w:tcPr>
            <w:tcW w:type="dxa" w:w="1440"/>
          </w:tcPr>
          <w:p>
            <w:r>
              <w:t>En cours</w:t>
            </w:r>
          </w:p>
        </w:tc>
        <w:tc>
          <w:tcPr>
            <w:tcW w:type="dxa" w:w="1440"/>
          </w:tcPr>
          <w:p>
            <w:r>
              <w:t>3 devis attendus</w:t>
            </w:r>
          </w:p>
        </w:tc>
      </w:tr>
      <w:tr>
        <w:tc>
          <w:tcPr>
            <w:tcW w:type="dxa" w:w="1440"/>
          </w:tcPr>
          <w:p>
            <w:r>
              <w:t>15/09/2026</w:t>
            </w:r>
          </w:p>
        </w:tc>
        <w:tc>
          <w:tcPr>
            <w:tcW w:type="dxa" w:w="1440"/>
          </w:tcPr>
          <w:p>
            <w:r>
              <w:t>Mise à jour du registre</w:t>
            </w:r>
          </w:p>
        </w:tc>
        <w:tc>
          <w:tcPr>
            <w:tcW w:type="dxa" w:w="1440"/>
          </w:tcPr>
          <w:p>
            <w:r>
              <w:t>Secrétaire</w:t>
            </w:r>
          </w:p>
        </w:tc>
        <w:tc>
          <w:tcPr>
            <w:tcW w:type="dxa" w:w="1440"/>
          </w:tcPr>
          <w:p>
            <w:r>
              <w:t>20/09/2026</w:t>
            </w:r>
          </w:p>
        </w:tc>
        <w:tc>
          <w:tcPr>
            <w:tcW w:type="dxa" w:w="1440"/>
          </w:tcPr>
          <w:p>
            <w:r>
              <w:t>À faire</w:t>
            </w:r>
          </w:p>
        </w:tc>
        <w:tc>
          <w:tcPr>
            <w:tcW w:type="dxa" w:w="1440"/>
          </w:tcPr>
          <w:p>
            <w:r>
              <w:t>Archivage numérique</w:t>
            </w:r>
          </w:p>
        </w:tc>
      </w:tr>
    </w:tbl>
    <w:p>
      <w:pPr>
        <w:pStyle w:val="Heading1"/>
      </w:pPr>
      <w:r>
        <w:t>Annexe B – Suivi des heures de délégation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Élu</w:t>
            </w:r>
          </w:p>
        </w:tc>
        <w:tc>
          <w:tcPr>
            <w:tcW w:type="dxa" w:w="1728"/>
          </w:tcPr>
          <w:p>
            <w:r>
              <w:t>Mois</w:t>
            </w:r>
          </w:p>
        </w:tc>
        <w:tc>
          <w:tcPr>
            <w:tcW w:type="dxa" w:w="1728"/>
          </w:tcPr>
          <w:p>
            <w:r>
              <w:t>Crédit</w:t>
            </w:r>
          </w:p>
        </w:tc>
        <w:tc>
          <w:tcPr>
            <w:tcW w:type="dxa" w:w="1728"/>
          </w:tcPr>
          <w:p>
            <w:r>
              <w:t>Utilisées</w:t>
            </w:r>
          </w:p>
        </w:tc>
        <w:tc>
          <w:tcPr>
            <w:tcW w:type="dxa" w:w="1728"/>
          </w:tcPr>
          <w:p>
            <w:r>
              <w:t>Solde</w:t>
            </w:r>
          </w:p>
        </w:tc>
      </w:tr>
      <w:tr>
        <w:tc>
          <w:tcPr>
            <w:tcW w:type="dxa" w:w="1728"/>
          </w:tcPr>
          <w:p>
            <w:r>
              <w:t>Mme Dupont</w:t>
            </w:r>
          </w:p>
        </w:tc>
        <w:tc>
          <w:tcPr>
            <w:tcW w:type="dxa" w:w="1728"/>
          </w:tcPr>
          <w:p>
            <w:r>
              <w:t>Septembre</w:t>
            </w:r>
          </w:p>
        </w:tc>
        <w:tc>
          <w:tcPr>
            <w:tcW w:type="dxa" w:w="1728"/>
          </w:tcPr>
          <w:p>
            <w:r>
              <w:t>22 h</w:t>
            </w:r>
          </w:p>
        </w:tc>
        <w:tc>
          <w:tcPr>
            <w:tcW w:type="dxa" w:w="1728"/>
          </w:tcPr>
          <w:p>
            <w:r>
              <w:t>18 h</w:t>
            </w:r>
          </w:p>
        </w:tc>
        <w:tc>
          <w:tcPr>
            <w:tcW w:type="dxa" w:w="1728"/>
          </w:tcPr>
          <w:p>
            <w:r>
              <w:t>4 h</w:t>
            </w:r>
          </w:p>
        </w:tc>
      </w:tr>
      <w:tr>
        <w:tc>
          <w:tcPr>
            <w:tcW w:type="dxa" w:w="1728"/>
          </w:tcPr>
          <w:p>
            <w:r>
              <w:t>M. Martin</w:t>
            </w:r>
          </w:p>
        </w:tc>
        <w:tc>
          <w:tcPr>
            <w:tcW w:type="dxa" w:w="1728"/>
          </w:tcPr>
          <w:p>
            <w:r>
              <w:t>Septembre</w:t>
            </w:r>
          </w:p>
        </w:tc>
        <w:tc>
          <w:tcPr>
            <w:tcW w:type="dxa" w:w="1728"/>
          </w:tcPr>
          <w:p>
            <w:r>
              <w:t>22 h</w:t>
            </w:r>
          </w:p>
        </w:tc>
        <w:tc>
          <w:tcPr>
            <w:tcW w:type="dxa" w:w="1728"/>
          </w:tcPr>
          <w:p>
            <w:r>
              <w:t>20 h</w:t>
            </w:r>
          </w:p>
        </w:tc>
        <w:tc>
          <w:tcPr>
            <w:tcW w:type="dxa" w:w="1728"/>
          </w:tcPr>
          <w:p>
            <w:r>
              <w:t>2 h</w:t>
            </w:r>
          </w:p>
        </w:tc>
      </w:tr>
      <w:tr>
        <w:tc>
          <w:tcPr>
            <w:tcW w:type="dxa" w:w="1728"/>
          </w:tcPr>
          <w:p>
            <w:r>
              <w:t>Mme Bernard</w:t>
            </w:r>
          </w:p>
        </w:tc>
        <w:tc>
          <w:tcPr>
            <w:tcW w:type="dxa" w:w="1728"/>
          </w:tcPr>
          <w:p>
            <w:r>
              <w:t>Septembre</w:t>
            </w:r>
          </w:p>
        </w:tc>
        <w:tc>
          <w:tcPr>
            <w:tcW w:type="dxa" w:w="1728"/>
          </w:tcPr>
          <w:p>
            <w:r>
              <w:t>22 h</w:t>
            </w:r>
          </w:p>
        </w:tc>
        <w:tc>
          <w:tcPr>
            <w:tcW w:type="dxa" w:w="1728"/>
          </w:tcPr>
          <w:p>
            <w:r>
              <w:t>15 h</w:t>
            </w:r>
          </w:p>
        </w:tc>
        <w:tc>
          <w:tcPr>
            <w:tcW w:type="dxa" w:w="1728"/>
          </w:tcPr>
          <w:p>
            <w:r>
              <w:t>7 h</w:t>
            </w:r>
          </w:p>
        </w:tc>
      </w:tr>
    </w:tbl>
    <w:p>
      <w:pPr>
        <w:pStyle w:val="Heading1"/>
      </w:pPr>
      <w:r>
        <w:t>Signatures</w:t>
      </w:r>
    </w:p>
    <w:p>
      <w:r>
        <w:t>Le Président : ____________________________</w:t>
        <w:br/>
        <w:br/>
        <w:t>Le Secrétaire : ____________________________</w:t>
        <w:br/>
        <w:br/>
        <w:t>Le Trésorier : 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