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tblLook w:firstColumn="1" w:firstRow="1" w:lastColumn="0" w:lastRow="0" w:noHBand="0" w:noVBand="1" w:val="04A0"/>
      </w:tblPr>
      <w:tblGrid>
        <w:gridCol w:w="8640"/>
      </w:tblGrid>
      <w:tr>
        <w:tc>
          <w:tcPr>
            <w:tcW w:type="dxa" w:w="8640"/>
            <w:shd w:fill="17365D"/>
          </w:tcPr>
          <w:p>
            <w:pPr>
              <w:jc w:val="center"/>
            </w:pPr>
            <w:r>
              <w:rPr>
                <w:b/>
                <w:color w:val="FFFFFF"/>
                <w:sz w:val="44"/>
              </w:rPr>
              <w:t>NOTE DE SYNTHÈSE FINANCIÈRE</w:t>
              <w:br/>
              <w:t>DOSSIER EXÉCUTIF – MODÈLE PREMIUM</w:t>
            </w:r>
          </w:p>
        </w:tc>
      </w:tr>
    </w:tbl>
    <w:p>
      <w:r>
        <w:t>Entreprise : ABC Industrie</w:t>
        <w:br/>
        <w:t>Période : 2e trimestre 2026</w:t>
        <w:br/>
        <w:t>Émetteur : Direction Financière</w:t>
        <w:br/>
        <w:t>Destinataire : Comité de Direction</w:t>
        <w:br/>
        <w:t>Confidentialité : Interne</w:t>
      </w:r>
    </w:p>
    <w:p>
      <w:pPr>
        <w:pStyle w:val="Heading1"/>
      </w:pPr>
      <w:r>
        <w:rPr>
          <w:color w:val="17365D"/>
        </w:rPr>
        <w:t>1. Résumé exécutif</w:t>
      </w:r>
    </w:p>
    <w:p>
      <w:r>
        <w:t>Le deuxième trimestre se traduit par une progression du chiffre d'affaires, une amélioration de la marge opérationnelle et une trésorerie solide. Les investissements engagés soutiennent la modernisation de l'outil industriel. Les principaux points de vigilance concernent les délais de paiement clients et l'évolution du coût des matières premières.</w:t>
      </w:r>
    </w:p>
    <w:p>
      <w:pPr>
        <w:pStyle w:val="Heading1"/>
      </w:pPr>
      <w:r>
        <w:rPr>
          <w:color w:val="17365D"/>
        </w:rPr>
        <w:t>2. Tableau de bord des indicateurs</w:t>
      </w:r>
    </w:p>
    <w:tbl>
      <w:tblPr>
        <w:tblStyle w:val="TableGrid"/>
        <w:tblW w:type="auto" w:w="0"/>
        <w:tblLook w:firstColumn="1" w:firstRow="1" w:lastColumn="0" w:lastRow="0" w:noHBand="0" w:noVBand="1" w:val="04A0"/>
      </w:tblPr>
      <w:tblGrid>
        <w:gridCol w:w="1728"/>
        <w:gridCol w:w="1728"/>
        <w:gridCol w:w="1728"/>
        <w:gridCol w:w="1728"/>
        <w:gridCol w:w="1728"/>
      </w:tblGrid>
      <w:tr>
        <w:tc>
          <w:tcPr>
            <w:tcW w:type="dxa" w:w="1728"/>
            <w:shd w:fill="1F4E79"/>
          </w:tcPr>
          <w:p>
            <w:r>
              <w:rPr>
                <w:color w:val="FFFFFF"/>
              </w:rPr>
              <w:t>Indicateur</w:t>
            </w:r>
          </w:p>
        </w:tc>
        <w:tc>
          <w:tcPr>
            <w:tcW w:type="dxa" w:w="1728"/>
            <w:shd w:fill="1F4E79"/>
          </w:tcPr>
          <w:p>
            <w:r>
              <w:rPr>
                <w:color w:val="FFFFFF"/>
              </w:rPr>
              <w:t>N</w:t>
            </w:r>
          </w:p>
        </w:tc>
        <w:tc>
          <w:tcPr>
            <w:tcW w:type="dxa" w:w="1728"/>
            <w:shd w:fill="1F4E79"/>
          </w:tcPr>
          <w:p>
            <w:r>
              <w:rPr>
                <w:color w:val="FFFFFF"/>
              </w:rPr>
              <w:t>N-1</w:t>
            </w:r>
          </w:p>
        </w:tc>
        <w:tc>
          <w:tcPr>
            <w:tcW w:type="dxa" w:w="1728"/>
            <w:shd w:fill="1F4E79"/>
          </w:tcPr>
          <w:p>
            <w:r>
              <w:rPr>
                <w:color w:val="FFFFFF"/>
              </w:rPr>
              <w:t>Budget</w:t>
            </w:r>
          </w:p>
        </w:tc>
        <w:tc>
          <w:tcPr>
            <w:tcW w:type="dxa" w:w="1728"/>
            <w:shd w:fill="1F4E79"/>
          </w:tcPr>
          <w:p>
            <w:r>
              <w:rPr>
                <w:color w:val="FFFFFF"/>
              </w:rPr>
              <w:t>Variation</w:t>
            </w:r>
          </w:p>
        </w:tc>
      </w:tr>
      <w:tr>
        <w:tc>
          <w:tcPr>
            <w:tcW w:type="dxa" w:w="1728"/>
          </w:tcPr>
          <w:p>
            <w:r>
              <w:t>Chiffre d'affaires</w:t>
            </w:r>
          </w:p>
        </w:tc>
        <w:tc>
          <w:tcPr>
            <w:tcW w:type="dxa" w:w="1728"/>
          </w:tcPr>
          <w:p>
            <w:r>
              <w:t>4 850 000 €</w:t>
            </w:r>
          </w:p>
        </w:tc>
        <w:tc>
          <w:tcPr>
            <w:tcW w:type="dxa" w:w="1728"/>
          </w:tcPr>
          <w:p>
            <w:r>
              <w:t>4 210 000 €</w:t>
            </w:r>
          </w:p>
        </w:tc>
        <w:tc>
          <w:tcPr>
            <w:tcW w:type="dxa" w:w="1728"/>
          </w:tcPr>
          <w:p>
            <w:r>
              <w:t>4 700 000 €</w:t>
            </w:r>
          </w:p>
        </w:tc>
        <w:tc>
          <w:tcPr>
            <w:tcW w:type="dxa" w:w="1728"/>
          </w:tcPr>
          <w:p>
            <w:r>
              <w:t>+15,2 %</w:t>
            </w:r>
          </w:p>
        </w:tc>
      </w:tr>
      <w:tr>
        <w:tc>
          <w:tcPr>
            <w:tcW w:type="dxa" w:w="1728"/>
          </w:tcPr>
          <w:p>
            <w:r>
              <w:t>Marge brute</w:t>
            </w:r>
          </w:p>
        </w:tc>
        <w:tc>
          <w:tcPr>
            <w:tcW w:type="dxa" w:w="1728"/>
          </w:tcPr>
          <w:p>
            <w:r>
              <w:t>38 %</w:t>
            </w:r>
          </w:p>
        </w:tc>
        <w:tc>
          <w:tcPr>
            <w:tcW w:type="dxa" w:w="1728"/>
          </w:tcPr>
          <w:p>
            <w:r>
              <w:t>34 %</w:t>
            </w:r>
          </w:p>
        </w:tc>
        <w:tc>
          <w:tcPr>
            <w:tcW w:type="dxa" w:w="1728"/>
          </w:tcPr>
          <w:p>
            <w:r>
              <w:t>36 %</w:t>
            </w:r>
          </w:p>
        </w:tc>
        <w:tc>
          <w:tcPr>
            <w:tcW w:type="dxa" w:w="1728"/>
          </w:tcPr>
          <w:p>
            <w:r>
              <w:t>+4 pts</w:t>
            </w:r>
          </w:p>
        </w:tc>
      </w:tr>
      <w:tr>
        <w:tc>
          <w:tcPr>
            <w:tcW w:type="dxa" w:w="1728"/>
          </w:tcPr>
          <w:p>
            <w:r>
              <w:t>EBITDA</w:t>
            </w:r>
          </w:p>
        </w:tc>
        <w:tc>
          <w:tcPr>
            <w:tcW w:type="dxa" w:w="1728"/>
          </w:tcPr>
          <w:p>
            <w:r>
              <w:t>815 000 €</w:t>
            </w:r>
          </w:p>
        </w:tc>
        <w:tc>
          <w:tcPr>
            <w:tcW w:type="dxa" w:w="1728"/>
          </w:tcPr>
          <w:p>
            <w:r>
              <w:t>690 000 €</w:t>
            </w:r>
          </w:p>
        </w:tc>
        <w:tc>
          <w:tcPr>
            <w:tcW w:type="dxa" w:w="1728"/>
          </w:tcPr>
          <w:p>
            <w:r>
              <w:t>760 000 €</w:t>
            </w:r>
          </w:p>
        </w:tc>
        <w:tc>
          <w:tcPr>
            <w:tcW w:type="dxa" w:w="1728"/>
          </w:tcPr>
          <w:p>
            <w:r>
              <w:t>+18 %</w:t>
            </w:r>
          </w:p>
        </w:tc>
      </w:tr>
      <w:tr>
        <w:tc>
          <w:tcPr>
            <w:tcW w:type="dxa" w:w="1728"/>
          </w:tcPr>
          <w:p>
            <w:r>
              <w:t>Résultat net</w:t>
            </w:r>
          </w:p>
        </w:tc>
        <w:tc>
          <w:tcPr>
            <w:tcW w:type="dxa" w:w="1728"/>
          </w:tcPr>
          <w:p>
            <w:r>
              <w:t>412 000 €</w:t>
            </w:r>
          </w:p>
        </w:tc>
        <w:tc>
          <w:tcPr>
            <w:tcW w:type="dxa" w:w="1728"/>
          </w:tcPr>
          <w:p>
            <w:r>
              <w:t>356 000 €</w:t>
            </w:r>
          </w:p>
        </w:tc>
        <w:tc>
          <w:tcPr>
            <w:tcW w:type="dxa" w:w="1728"/>
          </w:tcPr>
          <w:p>
            <w:r>
              <w:t>390 000 €</w:t>
            </w:r>
          </w:p>
        </w:tc>
        <w:tc>
          <w:tcPr>
            <w:tcW w:type="dxa" w:w="1728"/>
          </w:tcPr>
          <w:p>
            <w:r>
              <w:t>+15,7 %</w:t>
            </w:r>
          </w:p>
        </w:tc>
      </w:tr>
      <w:tr>
        <w:tc>
          <w:tcPr>
            <w:tcW w:type="dxa" w:w="1728"/>
          </w:tcPr>
          <w:p>
            <w:r>
              <w:t>Trésorerie</w:t>
            </w:r>
          </w:p>
        </w:tc>
        <w:tc>
          <w:tcPr>
            <w:tcW w:type="dxa" w:w="1728"/>
          </w:tcPr>
          <w:p>
            <w:r>
              <w:t>1 250 000 €</w:t>
            </w:r>
          </w:p>
        </w:tc>
        <w:tc>
          <w:tcPr>
            <w:tcW w:type="dxa" w:w="1728"/>
          </w:tcPr>
          <w:p>
            <w:r>
              <w:t>980 000 €</w:t>
            </w:r>
          </w:p>
        </w:tc>
        <w:tc>
          <w:tcPr>
            <w:tcW w:type="dxa" w:w="1728"/>
          </w:tcPr>
          <w:p>
            <w:r>
              <w:t>1 100 000 €</w:t>
            </w:r>
          </w:p>
        </w:tc>
        <w:tc>
          <w:tcPr>
            <w:tcW w:type="dxa" w:w="1728"/>
          </w:tcPr>
          <w:p>
            <w:r>
              <w:t>+27 %</w:t>
            </w:r>
          </w:p>
        </w:tc>
      </w:tr>
      <w:tr>
        <w:tc>
          <w:tcPr>
            <w:tcW w:type="dxa" w:w="1728"/>
          </w:tcPr>
          <w:p>
            <w:r>
              <w:t>Cash-flow</w:t>
            </w:r>
          </w:p>
        </w:tc>
        <w:tc>
          <w:tcPr>
            <w:tcW w:type="dxa" w:w="1728"/>
          </w:tcPr>
          <w:p>
            <w:r>
              <w:t>623 000 €</w:t>
            </w:r>
          </w:p>
        </w:tc>
        <w:tc>
          <w:tcPr>
            <w:tcW w:type="dxa" w:w="1728"/>
          </w:tcPr>
          <w:p>
            <w:r>
              <w:t>515 000 €</w:t>
            </w:r>
          </w:p>
        </w:tc>
        <w:tc>
          <w:tcPr>
            <w:tcW w:type="dxa" w:w="1728"/>
          </w:tcPr>
          <w:p>
            <w:r>
              <w:t>600 000 €</w:t>
            </w:r>
          </w:p>
        </w:tc>
        <w:tc>
          <w:tcPr>
            <w:tcW w:type="dxa" w:w="1728"/>
          </w:tcPr>
          <w:p>
            <w:r>
              <w:t>+21 %</w:t>
            </w:r>
          </w:p>
        </w:tc>
      </w:tr>
    </w:tbl>
    <w:p>
      <w:pPr>
        <w:pStyle w:val="Heading1"/>
      </w:pPr>
      <w:r>
        <w:rPr>
          <w:color w:val="17365D"/>
        </w:rPr>
        <w:t>3. Analyse du chiffre d'affaires</w:t>
      </w:r>
    </w:p>
    <w:p>
      <w:r>
        <w:t>Les ventes progressent grâce aux contrats industriels et au développement de l'export. Les produits à forte valeur ajoutée représentent désormais une part plus importante du portefeuille. La diversification des clients réduit la dépendance aux principaux comptes et améliore la résilience de l'activité.</w:t>
      </w:r>
    </w:p>
    <w:tbl>
      <w:tblPr>
        <w:tblStyle w:val="TableGrid"/>
        <w:tblW w:type="auto" w:w="0"/>
        <w:tblLook w:firstColumn="1" w:firstRow="1" w:lastColumn="0" w:lastRow="0" w:noHBand="0" w:noVBand="1" w:val="04A0"/>
      </w:tblPr>
      <w:tblGrid>
        <w:gridCol w:w="2160"/>
        <w:gridCol w:w="2160"/>
        <w:gridCol w:w="2160"/>
        <w:gridCol w:w="2160"/>
      </w:tblGrid>
      <w:tr>
        <w:tc>
          <w:tcPr>
            <w:tcW w:type="dxa" w:w="2160"/>
            <w:shd w:fill="D9EAD3"/>
          </w:tcPr>
          <w:p>
            <w:r>
              <w:t>Segment</w:t>
            </w:r>
          </w:p>
        </w:tc>
        <w:tc>
          <w:tcPr>
            <w:tcW w:type="dxa" w:w="2160"/>
            <w:shd w:fill="D9EAD3"/>
          </w:tcPr>
          <w:p>
            <w:r>
              <w:t>CA</w:t>
            </w:r>
          </w:p>
        </w:tc>
        <w:tc>
          <w:tcPr>
            <w:tcW w:type="dxa" w:w="2160"/>
            <w:shd w:fill="D9EAD3"/>
          </w:tcPr>
          <w:p>
            <w:r>
              <w:t>Croissance</w:t>
            </w:r>
          </w:p>
        </w:tc>
        <w:tc>
          <w:tcPr>
            <w:tcW w:type="dxa" w:w="2160"/>
            <w:shd w:fill="D9EAD3"/>
          </w:tcPr>
          <w:p>
            <w:r>
              <w:t>Part</w:t>
            </w:r>
          </w:p>
        </w:tc>
      </w:tr>
      <w:tr>
        <w:tc>
          <w:tcPr>
            <w:tcW w:type="dxa" w:w="2160"/>
          </w:tcPr>
          <w:p>
            <w:r>
              <w:t>Industrie</w:t>
            </w:r>
          </w:p>
        </w:tc>
        <w:tc>
          <w:tcPr>
            <w:tcW w:type="dxa" w:w="2160"/>
          </w:tcPr>
          <w:p>
            <w:r>
              <w:t>2 150 000 €</w:t>
            </w:r>
          </w:p>
        </w:tc>
        <w:tc>
          <w:tcPr>
            <w:tcW w:type="dxa" w:w="2160"/>
          </w:tcPr>
          <w:p>
            <w:r>
              <w:t>+18 %</w:t>
            </w:r>
          </w:p>
        </w:tc>
        <w:tc>
          <w:tcPr>
            <w:tcW w:type="dxa" w:w="2160"/>
          </w:tcPr>
          <w:p>
            <w:r>
              <w:t>48 %</w:t>
            </w:r>
          </w:p>
        </w:tc>
      </w:tr>
      <w:tr>
        <w:tc>
          <w:tcPr>
            <w:tcW w:type="dxa" w:w="2160"/>
          </w:tcPr>
          <w:p>
            <w:r>
              <w:t>Services</w:t>
            </w:r>
          </w:p>
        </w:tc>
        <w:tc>
          <w:tcPr>
            <w:tcW w:type="dxa" w:w="2160"/>
          </w:tcPr>
          <w:p>
            <w:r>
              <w:t>1 120 000 €</w:t>
            </w:r>
          </w:p>
        </w:tc>
        <w:tc>
          <w:tcPr>
            <w:tcW w:type="dxa" w:w="2160"/>
          </w:tcPr>
          <w:p>
            <w:r>
              <w:t>+10 %</w:t>
            </w:r>
          </w:p>
        </w:tc>
        <w:tc>
          <w:tcPr>
            <w:tcW w:type="dxa" w:w="2160"/>
          </w:tcPr>
          <w:p>
            <w:r>
              <w:t>25 %</w:t>
            </w:r>
          </w:p>
        </w:tc>
      </w:tr>
      <w:tr>
        <w:tc>
          <w:tcPr>
            <w:tcW w:type="dxa" w:w="2160"/>
          </w:tcPr>
          <w:p>
            <w:r>
              <w:t>Export</w:t>
            </w:r>
          </w:p>
        </w:tc>
        <w:tc>
          <w:tcPr>
            <w:tcW w:type="dxa" w:w="2160"/>
          </w:tcPr>
          <w:p>
            <w:r>
              <w:t>1 210 000 €</w:t>
            </w:r>
          </w:p>
        </w:tc>
        <w:tc>
          <w:tcPr>
            <w:tcW w:type="dxa" w:w="2160"/>
          </w:tcPr>
          <w:p>
            <w:r>
              <w:t>+24 %</w:t>
            </w:r>
          </w:p>
        </w:tc>
        <w:tc>
          <w:tcPr>
            <w:tcW w:type="dxa" w:w="2160"/>
          </w:tcPr>
          <w:p>
            <w:r>
              <w:t>27 %</w:t>
            </w:r>
          </w:p>
        </w:tc>
      </w:tr>
    </w:tbl>
    <w:p>
      <w:pPr>
        <w:pStyle w:val="Heading1"/>
      </w:pPr>
      <w:r>
        <w:rPr>
          <w:color w:val="17365D"/>
        </w:rPr>
        <w:t>4. Analyse budgétaire</w:t>
      </w:r>
    </w:p>
    <w:tbl>
      <w:tblPr>
        <w:tblStyle w:val="TableGrid"/>
        <w:tblW w:type="auto" w:w="0"/>
        <w:tblLook w:firstColumn="1" w:firstRow="1" w:lastColumn="0" w:lastRow="0" w:noHBand="0" w:noVBand="1" w:val="04A0"/>
      </w:tblPr>
      <w:tblGrid>
        <w:gridCol w:w="2160"/>
        <w:gridCol w:w="2160"/>
        <w:gridCol w:w="2160"/>
        <w:gridCol w:w="2160"/>
      </w:tblGrid>
      <w:tr>
        <w:tc>
          <w:tcPr>
            <w:tcW w:type="dxa" w:w="2160"/>
            <w:shd w:fill="FFF2CC"/>
          </w:tcPr>
          <w:p>
            <w:r>
              <w:t>Poste</w:t>
            </w:r>
          </w:p>
        </w:tc>
        <w:tc>
          <w:tcPr>
            <w:tcW w:type="dxa" w:w="2160"/>
            <w:shd w:fill="FFF2CC"/>
          </w:tcPr>
          <w:p>
            <w:r>
              <w:t>Budget</w:t>
            </w:r>
          </w:p>
        </w:tc>
        <w:tc>
          <w:tcPr>
            <w:tcW w:type="dxa" w:w="2160"/>
            <w:shd w:fill="FFF2CC"/>
          </w:tcPr>
          <w:p>
            <w:r>
              <w:t>Réalisé</w:t>
            </w:r>
          </w:p>
        </w:tc>
        <w:tc>
          <w:tcPr>
            <w:tcW w:type="dxa" w:w="2160"/>
            <w:shd w:fill="FFF2CC"/>
          </w:tcPr>
          <w:p>
            <w:r>
              <w:t>Écart</w:t>
            </w:r>
          </w:p>
        </w:tc>
      </w:tr>
      <w:tr>
        <w:tc>
          <w:tcPr>
            <w:tcW w:type="dxa" w:w="2160"/>
          </w:tcPr>
          <w:p>
            <w:r>
              <w:t>Achats</w:t>
            </w:r>
          </w:p>
        </w:tc>
        <w:tc>
          <w:tcPr>
            <w:tcW w:type="dxa" w:w="2160"/>
          </w:tcPr>
          <w:p>
            <w:r>
              <w:t>1 520 000 €</w:t>
            </w:r>
          </w:p>
        </w:tc>
        <w:tc>
          <w:tcPr>
            <w:tcW w:type="dxa" w:w="2160"/>
          </w:tcPr>
          <w:p>
            <w:r>
              <w:t>1 470 000 €</w:t>
            </w:r>
          </w:p>
        </w:tc>
        <w:tc>
          <w:tcPr>
            <w:tcW w:type="dxa" w:w="2160"/>
          </w:tcPr>
          <w:p>
            <w:r>
              <w:t>-50 000 €</w:t>
            </w:r>
          </w:p>
        </w:tc>
      </w:tr>
      <w:tr>
        <w:tc>
          <w:tcPr>
            <w:tcW w:type="dxa" w:w="2160"/>
          </w:tcPr>
          <w:p>
            <w:r>
              <w:t>RH</w:t>
            </w:r>
          </w:p>
        </w:tc>
        <w:tc>
          <w:tcPr>
            <w:tcW w:type="dxa" w:w="2160"/>
          </w:tcPr>
          <w:p>
            <w:r>
              <w:t>980 000 €</w:t>
            </w:r>
          </w:p>
        </w:tc>
        <w:tc>
          <w:tcPr>
            <w:tcW w:type="dxa" w:w="2160"/>
          </w:tcPr>
          <w:p>
            <w:r>
              <w:t>972 000 €</w:t>
            </w:r>
          </w:p>
        </w:tc>
        <w:tc>
          <w:tcPr>
            <w:tcW w:type="dxa" w:w="2160"/>
          </w:tcPr>
          <w:p>
            <w:r>
              <w:t>-8 000 €</w:t>
            </w:r>
          </w:p>
        </w:tc>
      </w:tr>
      <w:tr>
        <w:tc>
          <w:tcPr>
            <w:tcW w:type="dxa" w:w="2160"/>
          </w:tcPr>
          <w:p>
            <w:r>
              <w:t>Marketing</w:t>
            </w:r>
          </w:p>
        </w:tc>
        <w:tc>
          <w:tcPr>
            <w:tcW w:type="dxa" w:w="2160"/>
          </w:tcPr>
          <w:p>
            <w:r>
              <w:t>180 000 €</w:t>
            </w:r>
          </w:p>
        </w:tc>
        <w:tc>
          <w:tcPr>
            <w:tcW w:type="dxa" w:w="2160"/>
          </w:tcPr>
          <w:p>
            <w:r>
              <w:t>192 000 €</w:t>
            </w:r>
          </w:p>
        </w:tc>
        <w:tc>
          <w:tcPr>
            <w:tcW w:type="dxa" w:w="2160"/>
          </w:tcPr>
          <w:p>
            <w:r>
              <w:t>+12 000 €</w:t>
            </w:r>
          </w:p>
        </w:tc>
      </w:tr>
      <w:tr>
        <w:tc>
          <w:tcPr>
            <w:tcW w:type="dxa" w:w="2160"/>
          </w:tcPr>
          <w:p>
            <w:r>
              <w:t>CAPEX</w:t>
            </w:r>
          </w:p>
        </w:tc>
        <w:tc>
          <w:tcPr>
            <w:tcW w:type="dxa" w:w="2160"/>
          </w:tcPr>
          <w:p>
            <w:r>
              <w:t>400 000 €</w:t>
            </w:r>
          </w:p>
        </w:tc>
        <w:tc>
          <w:tcPr>
            <w:tcW w:type="dxa" w:w="2160"/>
          </w:tcPr>
          <w:p>
            <w:r>
              <w:t>385 000 €</w:t>
            </w:r>
          </w:p>
        </w:tc>
        <w:tc>
          <w:tcPr>
            <w:tcW w:type="dxa" w:w="2160"/>
          </w:tcPr>
          <w:p>
            <w:r>
              <w:t>-15 000 €</w:t>
            </w:r>
          </w:p>
        </w:tc>
      </w:tr>
    </w:tbl>
    <w:p>
      <w:pPr>
        <w:pStyle w:val="Heading1"/>
      </w:pPr>
      <w:r>
        <w:rPr>
          <w:color w:val="17365D"/>
        </w:rPr>
        <w:t>5. Trésorerie et flux</w:t>
      </w:r>
    </w:p>
    <w:p>
      <w:r>
        <w:t>La trésorerie demeure positive et couvre largement les besoins d'exploitation. Les encaissements progressent plus rapidement que les décaissements, permettant de financer les investissements sans tension majeure.</w:t>
      </w:r>
    </w:p>
    <w:tbl>
      <w:tblPr>
        <w:tblStyle w:val="TableGrid"/>
        <w:tblW w:type="auto" w:w="0"/>
        <w:tblLook w:firstColumn="1" w:firstRow="1" w:lastColumn="0" w:lastRow="0" w:noHBand="0" w:noVBand="1" w:val="04A0"/>
      </w:tblPr>
      <w:tblGrid>
        <w:gridCol w:w="2880"/>
        <w:gridCol w:w="2880"/>
        <w:gridCol w:w="2880"/>
      </w:tblGrid>
      <w:tr>
        <w:tc>
          <w:tcPr>
            <w:tcW w:type="dxa" w:w="2880"/>
            <w:shd w:fill="D9EAF7"/>
          </w:tcPr>
          <w:p>
            <w:r>
              <w:t>Flux</w:t>
            </w:r>
          </w:p>
        </w:tc>
        <w:tc>
          <w:tcPr>
            <w:tcW w:type="dxa" w:w="2880"/>
            <w:shd w:fill="D9EAF7"/>
          </w:tcPr>
          <w:p>
            <w:r>
              <w:t>Montant</w:t>
            </w:r>
          </w:p>
        </w:tc>
        <w:tc>
          <w:tcPr>
            <w:tcW w:type="dxa" w:w="2880"/>
            <w:shd w:fill="D9EAF7"/>
          </w:tcPr>
          <w:p>
            <w:r>
              <w:t>Commentaire</w:t>
            </w:r>
          </w:p>
        </w:tc>
      </w:tr>
      <w:tr>
        <w:tc>
          <w:tcPr>
            <w:tcW w:type="dxa" w:w="2880"/>
          </w:tcPr>
          <w:p>
            <w:r>
              <w:t>Encaissements</w:t>
            </w:r>
          </w:p>
        </w:tc>
        <w:tc>
          <w:tcPr>
            <w:tcW w:type="dxa" w:w="2880"/>
          </w:tcPr>
          <w:p>
            <w:r>
              <w:t>5 320 000 €</w:t>
            </w:r>
          </w:p>
        </w:tc>
        <w:tc>
          <w:tcPr>
            <w:tcW w:type="dxa" w:w="2880"/>
          </w:tcPr>
          <w:p>
            <w:r>
              <w:t>Hausse des ventes</w:t>
            </w:r>
          </w:p>
        </w:tc>
      </w:tr>
      <w:tr>
        <w:tc>
          <w:tcPr>
            <w:tcW w:type="dxa" w:w="2880"/>
          </w:tcPr>
          <w:p>
            <w:r>
              <w:t>Décaissements</w:t>
            </w:r>
          </w:p>
        </w:tc>
        <w:tc>
          <w:tcPr>
            <w:tcW w:type="dxa" w:w="2880"/>
          </w:tcPr>
          <w:p>
            <w:r>
              <w:t>4 697 000 €</w:t>
            </w:r>
          </w:p>
        </w:tc>
        <w:tc>
          <w:tcPr>
            <w:tcW w:type="dxa" w:w="2880"/>
          </w:tcPr>
          <w:p>
            <w:r>
              <w:t>Investissements maîtrisés</w:t>
            </w:r>
          </w:p>
        </w:tc>
      </w:tr>
      <w:tr>
        <w:tc>
          <w:tcPr>
            <w:tcW w:type="dxa" w:w="2880"/>
          </w:tcPr>
          <w:p>
            <w:r>
              <w:t>Cash disponible</w:t>
            </w:r>
          </w:p>
        </w:tc>
        <w:tc>
          <w:tcPr>
            <w:tcW w:type="dxa" w:w="2880"/>
          </w:tcPr>
          <w:p>
            <w:r>
              <w:t>623 000 €</w:t>
            </w:r>
          </w:p>
        </w:tc>
        <w:tc>
          <w:tcPr>
            <w:tcW w:type="dxa" w:w="2880"/>
          </w:tcPr>
          <w:p>
            <w:r>
              <w:t>Excédent</w:t>
            </w:r>
          </w:p>
        </w:tc>
      </w:tr>
    </w:tbl>
    <w:p>
      <w:pPr>
        <w:pStyle w:val="Heading1"/>
      </w:pPr>
      <w:r>
        <w:rPr>
          <w:color w:val="17365D"/>
        </w:rPr>
        <w:t>6. Ratios financiers</w:t>
      </w:r>
    </w:p>
    <w:p>
      <w:r>
        <w:t>• Liquidité générale : 1,82</w:t>
      </w:r>
    </w:p>
    <w:p>
      <w:r>
        <w:t>• Quick Ratio : 1,31</w:t>
      </w:r>
    </w:p>
    <w:p>
      <w:r>
        <w:t>• Autonomie financière : 46 %</w:t>
      </w:r>
    </w:p>
    <w:p>
      <w:r>
        <w:t>• ROE : 13,8 %</w:t>
      </w:r>
    </w:p>
    <w:p>
      <w:r>
        <w:t>• ROA : 8,6 %</w:t>
      </w:r>
    </w:p>
    <w:p>
      <w:r>
        <w:t>• BFR : 725 000 €</w:t>
      </w:r>
    </w:p>
    <w:p>
      <w:r>
        <w:t>• DSO : 54 jours</w:t>
      </w:r>
    </w:p>
    <w:p>
      <w:r>
        <w:t>• DPO : 48 jours</w:t>
      </w:r>
    </w:p>
    <w:p>
      <w:pPr>
        <w:pStyle w:val="Heading1"/>
      </w:pPr>
      <w:r>
        <w:rPr>
          <w:color w:val="17365D"/>
        </w:rPr>
        <w:t>7. Risques et recommandations</w:t>
      </w:r>
    </w:p>
    <w:tbl>
      <w:tblPr>
        <w:tblStyle w:val="TableGrid"/>
        <w:tblW w:type="auto" w:w="0"/>
        <w:tblLook w:firstColumn="1" w:firstRow="1" w:lastColumn="0" w:lastRow="0" w:noHBand="0" w:noVBand="1" w:val="04A0"/>
      </w:tblPr>
      <w:tblGrid>
        <w:gridCol w:w="1728"/>
        <w:gridCol w:w="1728"/>
        <w:gridCol w:w="1728"/>
        <w:gridCol w:w="1728"/>
        <w:gridCol w:w="1728"/>
      </w:tblGrid>
      <w:tr>
        <w:tc>
          <w:tcPr>
            <w:tcW w:type="dxa" w:w="1728"/>
            <w:shd w:fill="F4CCCC"/>
          </w:tcPr>
          <w:p>
            <w:r>
              <w:t>Risque</w:t>
            </w:r>
          </w:p>
        </w:tc>
        <w:tc>
          <w:tcPr>
            <w:tcW w:type="dxa" w:w="1728"/>
            <w:shd w:fill="F4CCCC"/>
          </w:tcPr>
          <w:p>
            <w:r>
              <w:t>Impact</w:t>
            </w:r>
          </w:p>
        </w:tc>
        <w:tc>
          <w:tcPr>
            <w:tcW w:type="dxa" w:w="1728"/>
            <w:shd w:fill="F4CCCC"/>
          </w:tcPr>
          <w:p>
            <w:r>
              <w:t>Probabilité</w:t>
            </w:r>
          </w:p>
        </w:tc>
        <w:tc>
          <w:tcPr>
            <w:tcW w:type="dxa" w:w="1728"/>
            <w:shd w:fill="F4CCCC"/>
          </w:tcPr>
          <w:p>
            <w:r>
              <w:t>Mesure</w:t>
            </w:r>
          </w:p>
        </w:tc>
        <w:tc>
          <w:tcPr>
            <w:tcW w:type="dxa" w:w="1728"/>
            <w:shd w:fill="F4CCCC"/>
          </w:tcPr>
          <w:p>
            <w:r>
              <w:t>Pilote</w:t>
            </w:r>
          </w:p>
        </w:tc>
      </w:tr>
      <w:tr>
        <w:tc>
          <w:tcPr>
            <w:tcW w:type="dxa" w:w="1728"/>
          </w:tcPr>
          <w:p>
            <w:r>
              <w:t>Retard de paiement</w:t>
            </w:r>
          </w:p>
        </w:tc>
        <w:tc>
          <w:tcPr>
            <w:tcW w:type="dxa" w:w="1728"/>
          </w:tcPr>
          <w:p>
            <w:r>
              <w:t>Élevé</w:t>
            </w:r>
          </w:p>
        </w:tc>
        <w:tc>
          <w:tcPr>
            <w:tcW w:type="dxa" w:w="1728"/>
          </w:tcPr>
          <w:p>
            <w:r>
              <w:t>Moyenne</w:t>
            </w:r>
          </w:p>
        </w:tc>
        <w:tc>
          <w:tcPr>
            <w:tcW w:type="dxa" w:w="1728"/>
          </w:tcPr>
          <w:p>
            <w:r>
              <w:t>Renforcer les relances</w:t>
            </w:r>
          </w:p>
        </w:tc>
        <w:tc>
          <w:tcPr>
            <w:tcW w:type="dxa" w:w="1728"/>
          </w:tcPr>
          <w:p>
            <w:r>
              <w:t>Crédit client</w:t>
            </w:r>
          </w:p>
        </w:tc>
      </w:tr>
      <w:tr>
        <w:tc>
          <w:tcPr>
            <w:tcW w:type="dxa" w:w="1728"/>
          </w:tcPr>
          <w:p>
            <w:r>
              <w:t>Hausse matières</w:t>
            </w:r>
          </w:p>
        </w:tc>
        <w:tc>
          <w:tcPr>
            <w:tcW w:type="dxa" w:w="1728"/>
          </w:tcPr>
          <w:p>
            <w:r>
              <w:t>Moyen</w:t>
            </w:r>
          </w:p>
        </w:tc>
        <w:tc>
          <w:tcPr>
            <w:tcW w:type="dxa" w:w="1728"/>
          </w:tcPr>
          <w:p>
            <w:r>
              <w:t>Élevée</w:t>
            </w:r>
          </w:p>
        </w:tc>
        <w:tc>
          <w:tcPr>
            <w:tcW w:type="dxa" w:w="1728"/>
          </w:tcPr>
          <w:p>
            <w:r>
              <w:t>Contrats long terme</w:t>
            </w:r>
          </w:p>
        </w:tc>
        <w:tc>
          <w:tcPr>
            <w:tcW w:type="dxa" w:w="1728"/>
          </w:tcPr>
          <w:p>
            <w:r>
              <w:t>Achats</w:t>
            </w:r>
          </w:p>
        </w:tc>
      </w:tr>
      <w:tr>
        <w:tc>
          <w:tcPr>
            <w:tcW w:type="dxa" w:w="1728"/>
          </w:tcPr>
          <w:p>
            <w:r>
              <w:t>Taux de change</w:t>
            </w:r>
          </w:p>
        </w:tc>
        <w:tc>
          <w:tcPr>
            <w:tcW w:type="dxa" w:w="1728"/>
          </w:tcPr>
          <w:p>
            <w:r>
              <w:t>Moyen</w:t>
            </w:r>
          </w:p>
        </w:tc>
        <w:tc>
          <w:tcPr>
            <w:tcW w:type="dxa" w:w="1728"/>
          </w:tcPr>
          <w:p>
            <w:r>
              <w:t>Faible</w:t>
            </w:r>
          </w:p>
        </w:tc>
        <w:tc>
          <w:tcPr>
            <w:tcW w:type="dxa" w:w="1728"/>
          </w:tcPr>
          <w:p>
            <w:r>
              <w:t>Couverture</w:t>
            </w:r>
          </w:p>
        </w:tc>
        <w:tc>
          <w:tcPr>
            <w:tcW w:type="dxa" w:w="1728"/>
          </w:tcPr>
          <w:p>
            <w:r>
              <w:t>DAF</w:t>
            </w:r>
          </w:p>
        </w:tc>
      </w:tr>
    </w:tbl>
    <w:p>
      <w:r>
        <w:t>Recommandations : renforcer le suivi des créances, maintenir une discipline budgétaire, prioriser les investissements à retour rapide et mettre à jour les prévisions de trésorerie chaque mois.</w:t>
      </w:r>
    </w:p>
    <w:p>
      <w:pPr>
        <w:pStyle w:val="Heading1"/>
      </w:pPr>
      <w:r>
        <w:rPr>
          <w:color w:val="17365D"/>
        </w:rPr>
        <w:t>8. Décisions proposées</w:t>
      </w:r>
    </w:p>
    <w:p>
      <w:r>
        <w:t>☐ Valider le budget du trimestre suivant</w:t>
      </w:r>
    </w:p>
    <w:p>
      <w:r>
        <w:t>☐ Confirmer les investissements prioritaires</w:t>
      </w:r>
    </w:p>
    <w:p>
      <w:r>
        <w:t>☐ Lancer un plan de réduction du DSO</w:t>
      </w:r>
    </w:p>
    <w:p>
      <w:r>
        <w:t>☐ Poursuivre les actions d'optimisation des achats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