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b/>
          <w:color w:val="123B66"/>
          <w:sz w:val="48"/>
        </w:rPr>
        <w:t>NOTE DE SYNTHÈSE CODIR</w:t>
        <w:br/>
      </w:r>
    </w:p>
    <w:p>
      <w:pPr>
        <w:jc w:val="center"/>
      </w:pPr>
      <w:r>
        <w:rPr>
          <w:b/>
        </w:rPr>
        <w:t>Projet : Déploiement d'une GED et automatisation documentaire</w:t>
        <w:br/>
      </w:r>
      <w:r>
        <w:t>Exemple entièrement prérempli à adapter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123B66"/>
          </w:tcPr>
          <w:p>
            <w:pPr>
              <w:jc w:val="center"/>
            </w:pPr>
            <w:r>
              <w:rPr>
                <w:b/>
                <w:color w:val="FFFFFF"/>
                <w:sz w:val="30"/>
              </w:rPr>
              <w:t>FICHE D'IDENTITÉ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D9EAD3"/>
          </w:tcPr>
          <w:p>
            <w:r>
              <w:rPr>
                <w:b/>
              </w:rPr>
              <w:t>Date</w:t>
            </w:r>
          </w:p>
        </w:tc>
        <w:tc>
          <w:tcPr>
            <w:tcW w:type="dxa" w:w="5100"/>
          </w:tcPr>
          <w:p>
            <w:r>
              <w:t>05/07/2026</w:t>
            </w:r>
          </w:p>
        </w:tc>
      </w:tr>
      <w:tr>
        <w:tc>
          <w:tcPr>
            <w:tcW w:type="dxa" w:w="5100"/>
            <w:shd w:fill="D9EAD3"/>
          </w:tcPr>
          <w:p>
            <w:r>
              <w:rPr>
                <w:b/>
              </w:rPr>
              <w:t>Direction</w:t>
            </w:r>
          </w:p>
        </w:tc>
        <w:tc>
          <w:tcPr>
            <w:tcW w:type="dxa" w:w="5100"/>
          </w:tcPr>
          <w:p>
            <w:r>
              <w:t>Transformation &amp; SI</w:t>
            </w:r>
          </w:p>
        </w:tc>
      </w:tr>
      <w:tr>
        <w:tc>
          <w:tcPr>
            <w:tcW w:type="dxa" w:w="5100"/>
            <w:shd w:fill="D9EAD3"/>
          </w:tcPr>
          <w:p>
            <w:r>
              <w:rPr>
                <w:b/>
              </w:rPr>
              <w:t>Sponsor</w:t>
            </w:r>
          </w:p>
        </w:tc>
        <w:tc>
          <w:tcPr>
            <w:tcW w:type="dxa" w:w="5100"/>
          </w:tcPr>
          <w:p>
            <w:r>
              <w:t>Directeur Général</w:t>
            </w:r>
          </w:p>
        </w:tc>
      </w:tr>
      <w:tr>
        <w:tc>
          <w:tcPr>
            <w:tcW w:type="dxa" w:w="5100"/>
            <w:shd w:fill="D9EAD3"/>
          </w:tcPr>
          <w:p>
            <w:r>
              <w:rPr>
                <w:b/>
              </w:rPr>
              <w:t>Chef de projet</w:t>
            </w:r>
          </w:p>
        </w:tc>
        <w:tc>
          <w:tcPr>
            <w:tcW w:type="dxa" w:w="5100"/>
          </w:tcPr>
          <w:p>
            <w:r>
              <w:t>Sophie Martin</w:t>
            </w:r>
          </w:p>
        </w:tc>
      </w:tr>
      <w:tr>
        <w:tc>
          <w:tcPr>
            <w:tcW w:type="dxa" w:w="5100"/>
            <w:shd w:fill="D9EAD3"/>
          </w:tcPr>
          <w:p>
            <w:r>
              <w:rPr>
                <w:b/>
              </w:rPr>
              <w:t>Budget</w:t>
            </w:r>
          </w:p>
        </w:tc>
        <w:tc>
          <w:tcPr>
            <w:tcW w:type="dxa" w:w="5100"/>
          </w:tcPr>
          <w:p>
            <w:r>
              <w:t>185 000 €</w:t>
            </w:r>
          </w:p>
        </w:tc>
      </w:tr>
      <w:tr>
        <w:tc>
          <w:tcPr>
            <w:tcW w:type="dxa" w:w="5100"/>
            <w:shd w:fill="D9EAD3"/>
          </w:tcPr>
          <w:p>
            <w:r>
              <w:rPr>
                <w:b/>
              </w:rPr>
              <w:t>Décision attendue</w:t>
            </w:r>
          </w:p>
        </w:tc>
        <w:tc>
          <w:tcPr>
            <w:tcW w:type="dxa" w:w="5100"/>
          </w:tcPr>
          <w:p>
            <w:r>
              <w:t>Validation du lancement</w:t>
            </w:r>
          </w:p>
        </w:tc>
      </w:tr>
      <w:tr>
        <w:tc>
          <w:tcPr>
            <w:tcW w:type="dxa" w:w="5100"/>
            <w:shd w:fill="D9EAD3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5100"/>
          </w:tcPr>
          <w:p>
            <w:r>
              <w:t>Janvier 2027</w:t>
            </w:r>
          </w:p>
        </w:tc>
      </w:tr>
      <w:tr>
        <w:tc>
          <w:tcPr>
            <w:tcW w:type="dxa" w:w="5100"/>
            <w:shd w:fill="D9EAD3"/>
          </w:tcPr>
          <w:p>
            <w:r>
              <w:rPr>
                <w:b/>
              </w:rPr>
              <w:t>Confidentialité</w:t>
            </w:r>
          </w:p>
        </w:tc>
        <w:tc>
          <w:tcPr>
            <w:tcW w:type="dxa" w:w="5100"/>
          </w:tcPr>
          <w:p>
            <w:r>
              <w:t>Interne CODIR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123B66"/>
          </w:tcPr>
          <w:p>
            <w:pPr>
              <w:jc w:val="center"/>
            </w:pPr>
            <w:r>
              <w:rPr>
                <w:b/>
                <w:color w:val="FFFFFF"/>
                <w:sz w:val="30"/>
              </w:rPr>
              <w:t>SYNTHÈSE EXÉCUTIVE</w:t>
            </w:r>
          </w:p>
        </w:tc>
      </w:tr>
    </w:tbl>
    <w:p>
      <w:pPr/>
      <w:r>
        <w:t>Le projet vise à remplacer les archives papier par une gestion électronique des documents afin d'accélérer les circuits de validation, sécuriser les informations et réduire les coûts administratifs. Le retour sur investissement est estimé à 24 mois grâce aux gains de productivité et à la diminution des impressions.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123B66"/>
          </w:tcPr>
          <w:p>
            <w:pPr>
              <w:jc w:val="center"/>
            </w:pPr>
            <w:r>
              <w:rPr>
                <w:b/>
                <w:color w:val="FFFFFF"/>
                <w:sz w:val="30"/>
              </w:rPr>
              <w:t>CONTEXTE</w:t>
            </w:r>
          </w:p>
        </w:tc>
      </w:tr>
    </w:tbl>
    <w:p>
      <w:pPr/>
      <w:r>
        <w:t>L'organisation gère plus de 120 000 documents par an. Les recherches documentaires restent chronophages et les validations mobilisent plusieurs échanges par courriel.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123B66"/>
          </w:tcPr>
          <w:p>
            <w:pPr>
              <w:jc w:val="center"/>
            </w:pPr>
            <w:r>
              <w:rPr>
                <w:b/>
                <w:color w:val="FFFFFF"/>
                <w:sz w:val="30"/>
              </w:rPr>
              <w:t>ENJEUX</w:t>
            </w:r>
          </w:p>
        </w:tc>
      </w:tr>
    </w:tbl>
    <w:p>
      <w:pPr/>
      <w:r>
        <w:t>• Réduction des délais de traitement</w:t>
        <w:br/>
        <w:t>• Conformité documentaire</w:t>
        <w:br/>
        <w:t>• Meilleure traçabilité</w:t>
        <w:br/>
        <w:t>• Collaboration entre services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123B66"/>
          </w:tcPr>
          <w:p>
            <w:pPr>
              <w:jc w:val="center"/>
            </w:pPr>
            <w:r>
              <w:rPr>
                <w:b/>
                <w:color w:val="FFFFFF"/>
                <w:sz w:val="30"/>
              </w:rPr>
              <w:t>RECOMMANDATIONS</w:t>
            </w:r>
          </w:p>
        </w:tc>
      </w:tr>
    </w:tbl>
    <w:p>
      <w:pPr/>
      <w:r>
        <w:t>Valider le budget, lancer un pilote sur trois directions, mesurer les KPI pendant trois mois puis généraliser le déploiement.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123B66"/>
          </w:tcPr>
          <w:p>
            <w:pPr>
              <w:jc w:val="center"/>
            </w:pPr>
            <w:r>
              <w:rPr>
                <w:b/>
                <w:color w:val="FFFFFF"/>
                <w:sz w:val="30"/>
              </w:rPr>
              <w:t>TABLEAU DE BORD KPI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0"/>
        <w:gridCol w:w="1700"/>
        <w:gridCol w:w="1700"/>
        <w:gridCol w:w="1700"/>
        <w:gridCol w:w="1700"/>
        <w:gridCol w:w="1700"/>
      </w:tblGrid>
      <w:tr>
        <w:tc>
          <w:tcPr>
            <w:tcW w:type="dxa" w:w="1700"/>
            <w:shd w:fill="4F81BD"/>
          </w:tcPr>
          <w:p>
            <w:r>
              <w:rPr>
                <w:color w:val="FFFFFF"/>
              </w:rPr>
              <w:t>Indicateur</w:t>
            </w:r>
          </w:p>
        </w:tc>
        <w:tc>
          <w:tcPr>
            <w:tcW w:type="dxa" w:w="1700"/>
            <w:shd w:fill="4F81BD"/>
          </w:tcPr>
          <w:p>
            <w:r>
              <w:rPr>
                <w:color w:val="FFFFFF"/>
              </w:rPr>
              <w:t>Avant</w:t>
            </w:r>
          </w:p>
        </w:tc>
        <w:tc>
          <w:tcPr>
            <w:tcW w:type="dxa" w:w="1700"/>
            <w:shd w:fill="4F81BD"/>
          </w:tcPr>
          <w:p>
            <w:r>
              <w:rPr>
                <w:color w:val="FFFFFF"/>
              </w:rPr>
              <w:t>Objectif</w:t>
            </w:r>
          </w:p>
        </w:tc>
        <w:tc>
          <w:tcPr>
            <w:tcW w:type="dxa" w:w="1700"/>
            <w:shd w:fill="4F81BD"/>
          </w:tcPr>
          <w:p>
            <w:r>
              <w:rPr>
                <w:color w:val="FFFFFF"/>
              </w:rPr>
              <w:t>Prévision</w:t>
            </w:r>
          </w:p>
        </w:tc>
        <w:tc>
          <w:tcPr>
            <w:tcW w:type="dxa" w:w="1700"/>
            <w:shd w:fill="4F81BD"/>
          </w:tcPr>
          <w:p>
            <w:r>
              <w:rPr>
                <w:color w:val="FFFFFF"/>
              </w:rPr>
              <w:t>Gain</w:t>
            </w:r>
          </w:p>
        </w:tc>
        <w:tc>
          <w:tcPr>
            <w:tcW w:type="dxa" w:w="1700"/>
            <w:shd w:fill="4F81BD"/>
          </w:tcPr>
          <w:p>
            <w:r>
              <w:rPr>
                <w:color w:val="FFFFFF"/>
              </w:rPr>
              <w:t>Statut</w:t>
            </w:r>
          </w:p>
        </w:tc>
      </w:tr>
      <w:tr>
        <w:tc>
          <w:tcPr>
            <w:tcW w:type="dxa" w:w="1700"/>
          </w:tcPr>
          <w:p>
            <w:r>
              <w:t>Temps recherche</w:t>
            </w:r>
          </w:p>
        </w:tc>
        <w:tc>
          <w:tcPr>
            <w:tcW w:type="dxa" w:w="1700"/>
          </w:tcPr>
          <w:p>
            <w:r>
              <w:t>18 min</w:t>
            </w:r>
          </w:p>
        </w:tc>
        <w:tc>
          <w:tcPr>
            <w:tcW w:type="dxa" w:w="1700"/>
          </w:tcPr>
          <w:p>
            <w:r>
              <w:t>5 min</w:t>
            </w:r>
          </w:p>
        </w:tc>
        <w:tc>
          <w:tcPr>
            <w:tcW w:type="dxa" w:w="1700"/>
          </w:tcPr>
          <w:p>
            <w:r>
              <w:t>6 min</w:t>
            </w:r>
          </w:p>
        </w:tc>
        <w:tc>
          <w:tcPr>
            <w:tcW w:type="dxa" w:w="1700"/>
          </w:tcPr>
          <w:p>
            <w:r>
              <w:t>67 %</w:t>
            </w:r>
          </w:p>
        </w:tc>
        <w:tc>
          <w:tcPr>
            <w:tcW w:type="dxa" w:w="1700"/>
          </w:tcPr>
          <w:p>
            <w:r>
              <w:t>🟢</w:t>
            </w:r>
          </w:p>
        </w:tc>
      </w:tr>
      <w:tr>
        <w:tc>
          <w:tcPr>
            <w:tcW w:type="dxa" w:w="1700"/>
          </w:tcPr>
          <w:p>
            <w:r>
              <w:t>Coût impression</w:t>
            </w:r>
          </w:p>
        </w:tc>
        <w:tc>
          <w:tcPr>
            <w:tcW w:type="dxa" w:w="1700"/>
          </w:tcPr>
          <w:p>
            <w:r>
              <w:t>42 k€</w:t>
            </w:r>
          </w:p>
        </w:tc>
        <w:tc>
          <w:tcPr>
            <w:tcW w:type="dxa" w:w="1700"/>
          </w:tcPr>
          <w:p>
            <w:r>
              <w:t>20 k€</w:t>
            </w:r>
          </w:p>
        </w:tc>
        <w:tc>
          <w:tcPr>
            <w:tcW w:type="dxa" w:w="1700"/>
          </w:tcPr>
          <w:p>
            <w:r>
              <w:t>19 k€</w:t>
            </w:r>
          </w:p>
        </w:tc>
        <w:tc>
          <w:tcPr>
            <w:tcW w:type="dxa" w:w="1700"/>
          </w:tcPr>
          <w:p>
            <w:r>
              <w:t>55 %</w:t>
            </w:r>
          </w:p>
        </w:tc>
        <w:tc>
          <w:tcPr>
            <w:tcW w:type="dxa" w:w="1700"/>
          </w:tcPr>
          <w:p>
            <w:r>
              <w:t>🟢</w:t>
            </w:r>
          </w:p>
        </w:tc>
      </w:tr>
      <w:tr>
        <w:tc>
          <w:tcPr>
            <w:tcW w:type="dxa" w:w="1700"/>
          </w:tcPr>
          <w:p>
            <w:r>
              <w:t>Validation</w:t>
            </w:r>
          </w:p>
        </w:tc>
        <w:tc>
          <w:tcPr>
            <w:tcW w:type="dxa" w:w="1700"/>
          </w:tcPr>
          <w:p>
            <w:r>
              <w:t>5 jours</w:t>
            </w:r>
          </w:p>
        </w:tc>
        <w:tc>
          <w:tcPr>
            <w:tcW w:type="dxa" w:w="1700"/>
          </w:tcPr>
          <w:p>
            <w:r>
              <w:t>2 jours</w:t>
            </w:r>
          </w:p>
        </w:tc>
        <w:tc>
          <w:tcPr>
            <w:tcW w:type="dxa" w:w="1700"/>
          </w:tcPr>
          <w:p>
            <w:r>
              <w:t>2,3 jours</w:t>
            </w:r>
          </w:p>
        </w:tc>
        <w:tc>
          <w:tcPr>
            <w:tcW w:type="dxa" w:w="1700"/>
          </w:tcPr>
          <w:p>
            <w:r>
              <w:t>54 %</w:t>
            </w:r>
          </w:p>
        </w:tc>
        <w:tc>
          <w:tcPr>
            <w:tcW w:type="dxa" w:w="1700"/>
          </w:tcPr>
          <w:p>
            <w:r>
              <w:t>🟡</w:t>
            </w:r>
          </w:p>
        </w:tc>
      </w:tr>
      <w:tr>
        <w:tc>
          <w:tcPr>
            <w:tcW w:type="dxa" w:w="1700"/>
          </w:tcPr>
          <w:p>
            <w:r>
              <w:t>Satisfaction</w:t>
            </w:r>
          </w:p>
        </w:tc>
        <w:tc>
          <w:tcPr>
            <w:tcW w:type="dxa" w:w="1700"/>
          </w:tcPr>
          <w:p>
            <w:r>
              <w:t>71 %</w:t>
            </w:r>
          </w:p>
        </w:tc>
        <w:tc>
          <w:tcPr>
            <w:tcW w:type="dxa" w:w="1700"/>
          </w:tcPr>
          <w:p>
            <w:r>
              <w:t>90 %</w:t>
            </w:r>
          </w:p>
        </w:tc>
        <w:tc>
          <w:tcPr>
            <w:tcW w:type="dxa" w:w="1700"/>
          </w:tcPr>
          <w:p>
            <w:r>
              <w:t>88 %</w:t>
            </w:r>
          </w:p>
        </w:tc>
        <w:tc>
          <w:tcPr>
            <w:tcW w:type="dxa" w:w="1700"/>
          </w:tcPr>
          <w:p>
            <w:r>
              <w:t>+17 pts</w:t>
            </w:r>
          </w:p>
        </w:tc>
        <w:tc>
          <w:tcPr>
            <w:tcW w:type="dxa" w:w="1700"/>
          </w:tcPr>
          <w:p>
            <w:r>
              <w:t>🟡</w:t>
            </w:r>
          </w:p>
        </w:tc>
      </w:tr>
      <w:tr>
        <w:tc>
          <w:tcPr>
            <w:tcW w:type="dxa" w:w="1700"/>
          </w:tcPr>
          <w:p>
            <w:r>
              <w:t>Documents num.</w:t>
            </w:r>
          </w:p>
        </w:tc>
        <w:tc>
          <w:tcPr>
            <w:tcW w:type="dxa" w:w="1700"/>
          </w:tcPr>
          <w:p>
            <w:r>
              <w:t>35 %</w:t>
            </w:r>
          </w:p>
        </w:tc>
        <w:tc>
          <w:tcPr>
            <w:tcW w:type="dxa" w:w="1700"/>
          </w:tcPr>
          <w:p>
            <w:r>
              <w:t>100 %</w:t>
            </w:r>
          </w:p>
        </w:tc>
        <w:tc>
          <w:tcPr>
            <w:tcW w:type="dxa" w:w="1700"/>
          </w:tcPr>
          <w:p>
            <w:r>
              <w:t>95 %</w:t>
            </w:r>
          </w:p>
        </w:tc>
        <w:tc>
          <w:tcPr>
            <w:tcW w:type="dxa" w:w="1700"/>
          </w:tcPr>
          <w:p>
            <w:r>
              <w:t>+60 pts</w:t>
            </w:r>
          </w:p>
        </w:tc>
        <w:tc>
          <w:tcPr>
            <w:tcW w:type="dxa" w:w="1700"/>
          </w:tcPr>
          <w:p>
            <w:r>
              <w:t>🟢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123B66"/>
          </w:tcPr>
          <w:p>
            <w:pPr>
              <w:jc w:val="center"/>
            </w:pPr>
            <w:r>
              <w:rPr>
                <w:b/>
                <w:color w:val="FFFFFF"/>
                <w:sz w:val="30"/>
              </w:rPr>
              <w:t>MATRICE DES RISQUES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fill="C0504D"/>
          </w:tcPr>
          <w:p>
            <w:r>
              <w:rPr>
                <w:color w:val="FFFFFF"/>
              </w:rPr>
              <w:t>Risque</w:t>
            </w:r>
          </w:p>
        </w:tc>
        <w:tc>
          <w:tcPr>
            <w:tcW w:type="dxa" w:w="2040"/>
            <w:shd w:fill="C0504D"/>
          </w:tcPr>
          <w:p>
            <w:r>
              <w:rPr>
                <w:color w:val="FFFFFF"/>
              </w:rPr>
              <w:t>Probabilité</w:t>
            </w:r>
          </w:p>
        </w:tc>
        <w:tc>
          <w:tcPr>
            <w:tcW w:type="dxa" w:w="2040"/>
            <w:shd w:fill="C0504D"/>
          </w:tcPr>
          <w:p>
            <w:r>
              <w:rPr>
                <w:color w:val="FFFFFF"/>
              </w:rPr>
              <w:t>Impact</w:t>
            </w:r>
          </w:p>
        </w:tc>
        <w:tc>
          <w:tcPr>
            <w:tcW w:type="dxa" w:w="2040"/>
            <w:shd w:fill="C0504D"/>
          </w:tcPr>
          <w:p>
            <w:r>
              <w:rPr>
                <w:color w:val="FFFFFF"/>
              </w:rPr>
              <w:t>Criticité</w:t>
            </w:r>
          </w:p>
        </w:tc>
        <w:tc>
          <w:tcPr>
            <w:tcW w:type="dxa" w:w="2040"/>
            <w:shd w:fill="C0504D"/>
          </w:tcPr>
          <w:p>
            <w:r>
              <w:rPr>
                <w:color w:val="FFFFFF"/>
              </w:rPr>
              <w:t>Action</w:t>
            </w:r>
          </w:p>
        </w:tc>
      </w:tr>
      <w:tr>
        <w:tc>
          <w:tcPr>
            <w:tcW w:type="dxa" w:w="2040"/>
          </w:tcPr>
          <w:p>
            <w:r>
              <w:t>Résistance au changement</w:t>
            </w:r>
          </w:p>
        </w:tc>
        <w:tc>
          <w:tcPr>
            <w:tcW w:type="dxa" w:w="2040"/>
          </w:tcPr>
          <w:p>
            <w:r>
              <w:t>Moyenne</w:t>
            </w:r>
          </w:p>
        </w:tc>
        <w:tc>
          <w:tcPr>
            <w:tcW w:type="dxa" w:w="2040"/>
          </w:tcPr>
          <w:p>
            <w:r>
              <w:t>Élevé</w:t>
            </w:r>
          </w:p>
        </w:tc>
        <w:tc>
          <w:tcPr>
            <w:tcW w:type="dxa" w:w="2040"/>
          </w:tcPr>
          <w:p>
            <w:r>
              <w:t>Fort</w:t>
            </w:r>
          </w:p>
        </w:tc>
        <w:tc>
          <w:tcPr>
            <w:tcW w:type="dxa" w:w="2040"/>
          </w:tcPr>
          <w:p>
            <w:r>
              <w:t>Former les équipes</w:t>
            </w:r>
          </w:p>
        </w:tc>
      </w:tr>
      <w:tr>
        <w:tc>
          <w:tcPr>
            <w:tcW w:type="dxa" w:w="2040"/>
          </w:tcPr>
          <w:p>
            <w:r>
              <w:t>Retard intégration</w:t>
            </w:r>
          </w:p>
        </w:tc>
        <w:tc>
          <w:tcPr>
            <w:tcW w:type="dxa" w:w="2040"/>
          </w:tcPr>
          <w:p>
            <w:r>
              <w:t>Faible</w:t>
            </w:r>
          </w:p>
        </w:tc>
        <w:tc>
          <w:tcPr>
            <w:tcW w:type="dxa" w:w="2040"/>
          </w:tcPr>
          <w:p>
            <w:r>
              <w:t>Élevé</w:t>
            </w:r>
          </w:p>
        </w:tc>
        <w:tc>
          <w:tcPr>
            <w:tcW w:type="dxa" w:w="2040"/>
          </w:tcPr>
          <w:p>
            <w:r>
              <w:t>Modéré</w:t>
            </w:r>
          </w:p>
        </w:tc>
        <w:tc>
          <w:tcPr>
            <w:tcW w:type="dxa" w:w="2040"/>
          </w:tcPr>
          <w:p>
            <w:r>
              <w:t>Pilotage hebdomadaire</w:t>
            </w:r>
          </w:p>
        </w:tc>
      </w:tr>
      <w:tr>
        <w:tc>
          <w:tcPr>
            <w:tcW w:type="dxa" w:w="2040"/>
          </w:tcPr>
          <w:p>
            <w:r>
              <w:t>Migration données</w:t>
            </w:r>
          </w:p>
        </w:tc>
        <w:tc>
          <w:tcPr>
            <w:tcW w:type="dxa" w:w="2040"/>
          </w:tcPr>
          <w:p>
            <w:r>
              <w:t>Moyenne</w:t>
            </w:r>
          </w:p>
        </w:tc>
        <w:tc>
          <w:tcPr>
            <w:tcW w:type="dxa" w:w="2040"/>
          </w:tcPr>
          <w:p>
            <w:r>
              <w:t>Moyen</w:t>
            </w:r>
          </w:p>
        </w:tc>
        <w:tc>
          <w:tcPr>
            <w:tcW w:type="dxa" w:w="2040"/>
          </w:tcPr>
          <w:p>
            <w:r>
              <w:t>Modéré</w:t>
            </w:r>
          </w:p>
        </w:tc>
        <w:tc>
          <w:tcPr>
            <w:tcW w:type="dxa" w:w="2040"/>
          </w:tcPr>
          <w:p>
            <w:r>
              <w:t>Tests de recette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123B66"/>
          </w:tcPr>
          <w:p>
            <w:pPr>
              <w:jc w:val="center"/>
            </w:pPr>
            <w:r>
              <w:rPr>
                <w:b/>
                <w:color w:val="FFFFFF"/>
                <w:sz w:val="30"/>
              </w:rPr>
              <w:t>PLAN D'ACTION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fill="70AD47"/>
          </w:tcPr>
          <w:p>
            <w:r>
              <w:rPr>
                <w:color w:val="FFFFFF"/>
              </w:rPr>
              <w:t>Action</w:t>
            </w:r>
          </w:p>
        </w:tc>
        <w:tc>
          <w:tcPr>
            <w:tcW w:type="dxa" w:w="2040"/>
            <w:shd w:fill="70AD47"/>
          </w:tcPr>
          <w:p>
            <w:r>
              <w:rPr>
                <w:color w:val="FFFFFF"/>
              </w:rPr>
              <w:t>Responsable</w:t>
            </w:r>
          </w:p>
        </w:tc>
        <w:tc>
          <w:tcPr>
            <w:tcW w:type="dxa" w:w="2040"/>
            <w:shd w:fill="70AD47"/>
          </w:tcPr>
          <w:p>
            <w:r>
              <w:rPr>
                <w:color w:val="FFFFFF"/>
              </w:rPr>
              <w:t>Début</w:t>
            </w:r>
          </w:p>
        </w:tc>
        <w:tc>
          <w:tcPr>
            <w:tcW w:type="dxa" w:w="2040"/>
            <w:shd w:fill="70AD47"/>
          </w:tcPr>
          <w:p>
            <w:r>
              <w:rPr>
                <w:color w:val="FFFFFF"/>
              </w:rPr>
              <w:t>Fin</w:t>
            </w:r>
          </w:p>
        </w:tc>
        <w:tc>
          <w:tcPr>
            <w:tcW w:type="dxa" w:w="2040"/>
            <w:shd w:fill="70AD47"/>
          </w:tcPr>
          <w:p>
            <w:r>
              <w:rPr>
                <w:color w:val="FFFFFF"/>
              </w:rPr>
              <w:t>Avancement</w:t>
            </w:r>
          </w:p>
        </w:tc>
      </w:tr>
      <w:tr>
        <w:tc>
          <w:tcPr>
            <w:tcW w:type="dxa" w:w="2040"/>
          </w:tcPr>
          <w:p>
            <w:r>
              <w:t>Choix éditeur</w:t>
            </w:r>
          </w:p>
        </w:tc>
        <w:tc>
          <w:tcPr>
            <w:tcW w:type="dxa" w:w="2040"/>
          </w:tcPr>
          <w:p>
            <w:r>
              <w:t>DSI</w:t>
            </w:r>
          </w:p>
        </w:tc>
        <w:tc>
          <w:tcPr>
            <w:tcW w:type="dxa" w:w="2040"/>
          </w:tcPr>
          <w:p>
            <w:r>
              <w:t>07/2026</w:t>
            </w:r>
          </w:p>
        </w:tc>
        <w:tc>
          <w:tcPr>
            <w:tcW w:type="dxa" w:w="2040"/>
          </w:tcPr>
          <w:p>
            <w:r>
              <w:t>08/2026</w:t>
            </w:r>
          </w:p>
        </w:tc>
        <w:tc>
          <w:tcPr>
            <w:tcW w:type="dxa" w:w="2040"/>
          </w:tcPr>
          <w:p>
            <w:r>
              <w:t>100 %</w:t>
            </w:r>
          </w:p>
        </w:tc>
      </w:tr>
      <w:tr>
        <w:tc>
          <w:tcPr>
            <w:tcW w:type="dxa" w:w="2040"/>
          </w:tcPr>
          <w:p>
            <w:r>
              <w:t>Paramétrage</w:t>
            </w:r>
          </w:p>
        </w:tc>
        <w:tc>
          <w:tcPr>
            <w:tcW w:type="dxa" w:w="2040"/>
          </w:tcPr>
          <w:p>
            <w:r>
              <w:t>Intégrateur</w:t>
            </w:r>
          </w:p>
        </w:tc>
        <w:tc>
          <w:tcPr>
            <w:tcW w:type="dxa" w:w="2040"/>
          </w:tcPr>
          <w:p>
            <w:r>
              <w:t>08/2026</w:t>
            </w:r>
          </w:p>
        </w:tc>
        <w:tc>
          <w:tcPr>
            <w:tcW w:type="dxa" w:w="2040"/>
          </w:tcPr>
          <w:p>
            <w:r>
              <w:t>10/2026</w:t>
            </w:r>
          </w:p>
        </w:tc>
        <w:tc>
          <w:tcPr>
            <w:tcW w:type="dxa" w:w="2040"/>
          </w:tcPr>
          <w:p>
            <w:r>
              <w:t>40 %</w:t>
            </w:r>
          </w:p>
        </w:tc>
      </w:tr>
      <w:tr>
        <w:tc>
          <w:tcPr>
            <w:tcW w:type="dxa" w:w="2040"/>
          </w:tcPr>
          <w:p>
            <w:r>
              <w:t>Formation</w:t>
            </w:r>
          </w:p>
        </w:tc>
        <w:tc>
          <w:tcPr>
            <w:tcW w:type="dxa" w:w="2040"/>
          </w:tcPr>
          <w:p>
            <w:r>
              <w:t>RH</w:t>
            </w:r>
          </w:p>
        </w:tc>
        <w:tc>
          <w:tcPr>
            <w:tcW w:type="dxa" w:w="2040"/>
          </w:tcPr>
          <w:p>
            <w:r>
              <w:t>10/2026</w:t>
            </w:r>
          </w:p>
        </w:tc>
        <w:tc>
          <w:tcPr>
            <w:tcW w:type="dxa" w:w="2040"/>
          </w:tcPr>
          <w:p>
            <w:r>
              <w:t>11/2026</w:t>
            </w:r>
          </w:p>
        </w:tc>
        <w:tc>
          <w:tcPr>
            <w:tcW w:type="dxa" w:w="2040"/>
          </w:tcPr>
          <w:p>
            <w:r>
              <w:t>0 %</w:t>
            </w:r>
          </w:p>
        </w:tc>
      </w:tr>
      <w:tr>
        <w:tc>
          <w:tcPr>
            <w:tcW w:type="dxa" w:w="2040"/>
          </w:tcPr>
          <w:p>
            <w:r>
              <w:t>Déploiement</w:t>
            </w:r>
          </w:p>
        </w:tc>
        <w:tc>
          <w:tcPr>
            <w:tcW w:type="dxa" w:w="2040"/>
          </w:tcPr>
          <w:p>
            <w:r>
              <w:t>PMO</w:t>
            </w:r>
          </w:p>
        </w:tc>
        <w:tc>
          <w:tcPr>
            <w:tcW w:type="dxa" w:w="2040"/>
          </w:tcPr>
          <w:p>
            <w:r>
              <w:t>11/2026</w:t>
            </w:r>
          </w:p>
        </w:tc>
        <w:tc>
          <w:tcPr>
            <w:tcW w:type="dxa" w:w="2040"/>
          </w:tcPr>
          <w:p>
            <w:r>
              <w:t>01/2027</w:t>
            </w:r>
          </w:p>
        </w:tc>
        <w:tc>
          <w:tcPr>
            <w:tcW w:type="dxa" w:w="2040"/>
          </w:tcPr>
          <w:p>
            <w:r>
              <w:t>0 %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fill="123B66"/>
          </w:tcPr>
          <w:p>
            <w:pPr>
              <w:jc w:val="center"/>
            </w:pPr>
            <w:r>
              <w:rPr>
                <w:b/>
                <w:color w:val="FFFFFF"/>
                <w:sz w:val="30"/>
              </w:rPr>
              <w:t>DÉCISION DU CODIR</w:t>
            </w:r>
          </w:p>
        </w:tc>
      </w:tr>
    </w:tbl>
    <w:p>
      <w:r>
        <w:t>☑ Validation du projet</w:t>
        <w:br/>
        <w:t>☑ Budget approuvé : 185 000 €</w:t>
        <w:br/>
        <w:t>☑ Lancement du pilote sur trois directions</w:t>
        <w:br/>
        <w:t>☑ Revue d'avancement mensuelle en CODIR</w:t>
        <w:br/>
        <w:br/>
        <w:t>Signatures : Directeur Général | DAF | DSI | DRH</w:t>
      </w:r>
    </w:p>
    <w:sectPr w:rsidR="00FC693F" w:rsidRPr="0006063C" w:rsidSect="00034616"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