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5CAA"/>
          <w:sz w:val="48"/>
        </w:rPr>
        <w:t>DOSSIER DES OUVRAGES EXÉCUTÉS</w:t>
        <w:br/>
      </w:r>
      <w:r>
        <w:rPr>
          <w:b/>
          <w:sz w:val="40"/>
        </w:rPr>
        <w:t>LOT PLOMBERIE</w:t>
        <w:br/>
      </w:r>
      <w:r>
        <w:t>Version Premium enrichie – EF • ECS • EU • EV • EP • Réseaux hydrauliques</w:t>
      </w:r>
    </w:p>
    <w:p>
      <w:pPr>
        <w:pStyle w:val="Heading2"/>
      </w:pPr>
      <w:r>
        <w:rPr>
          <w:color w:val="0066AA"/>
        </w:rPr>
        <w:t>Fiche projet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CFEFFF"/>
          </w:tcPr>
          <w:p>
            <w:r>
              <w:t>Champ</w:t>
            </w:r>
          </w:p>
        </w:tc>
        <w:tc>
          <w:tcPr>
            <w:tcW w:type="dxa" w:w="4320"/>
            <w:shd w:fill="CFEFFF"/>
          </w:tcPr>
          <w:p>
            <w:r>
              <w:t>Valeur</w:t>
            </w:r>
          </w:p>
        </w:tc>
      </w:tr>
      <w:tr>
        <w:tc>
          <w:tcPr>
            <w:tcW w:type="dxa" w:w="4320"/>
          </w:tcPr>
          <w:p>
            <w:r>
              <w:t>Projet</w:t>
            </w:r>
          </w:p>
        </w:tc>
        <w:tc>
          <w:tcPr>
            <w:tcW w:type="dxa" w:w="4320"/>
          </w:tcPr>
          <w:p>
            <w:r>
              <w:t>Campus tertiaire Horizon</w:t>
            </w:r>
          </w:p>
        </w:tc>
      </w:tr>
      <w:tr>
        <w:tc>
          <w:tcPr>
            <w:tcW w:type="dxa" w:w="4320"/>
          </w:tcPr>
          <w:p>
            <w:r>
              <w:t>MOA</w:t>
            </w:r>
          </w:p>
        </w:tc>
        <w:tc>
          <w:tcPr>
            <w:tcW w:type="dxa" w:w="4320"/>
          </w:tcPr>
          <w:p>
            <w:r>
              <w:t>Horizon Immobilier</w:t>
            </w:r>
          </w:p>
        </w:tc>
      </w:tr>
      <w:tr>
        <w:tc>
          <w:tcPr>
            <w:tcW w:type="dxa" w:w="4320"/>
          </w:tcPr>
          <w:p>
            <w:r>
              <w:t>BET Fluides</w:t>
            </w:r>
          </w:p>
        </w:tc>
        <w:tc>
          <w:tcPr>
            <w:tcW w:type="dxa" w:w="4320"/>
          </w:tcPr>
          <w:p>
            <w:r>
              <w:t>Fluides Ingénierie</w:t>
            </w:r>
          </w:p>
        </w:tc>
      </w:tr>
      <w:tr>
        <w:tc>
          <w:tcPr>
            <w:tcW w:type="dxa" w:w="4320"/>
          </w:tcPr>
          <w:p>
            <w:r>
              <w:t>Entreprise</w:t>
            </w:r>
          </w:p>
        </w:tc>
        <w:tc>
          <w:tcPr>
            <w:tcW w:type="dxa" w:w="4320"/>
          </w:tcPr>
          <w:p>
            <w:r>
              <w:t>HydroTech Bâtiment</w:t>
            </w:r>
          </w:p>
        </w:tc>
      </w:tr>
      <w:tr>
        <w:tc>
          <w:tcPr>
            <w:tcW w:type="dxa" w:w="4320"/>
          </w:tcPr>
          <w:p>
            <w:r>
              <w:t>Chef de chantier</w:t>
            </w:r>
          </w:p>
        </w:tc>
        <w:tc>
          <w:tcPr>
            <w:tcW w:type="dxa" w:w="4320"/>
          </w:tcPr>
          <w:p>
            <w:r>
              <w:t>A. Martin</w:t>
            </w:r>
          </w:p>
        </w:tc>
      </w:tr>
      <w:tr>
        <w:tc>
          <w:tcPr>
            <w:tcW w:type="dxa" w:w="4320"/>
          </w:tcPr>
          <w:p>
            <w:r>
              <w:t>Version</w:t>
            </w:r>
          </w:p>
        </w:tc>
        <w:tc>
          <w:tcPr>
            <w:tcW w:type="dxa" w:w="4320"/>
          </w:tcPr>
          <w:p>
            <w:r>
              <w:t>V2.0</w:t>
            </w:r>
          </w:p>
        </w:tc>
      </w:tr>
    </w:tbl>
    <w:p/>
    <w:p>
      <w:pPr>
        <w:pStyle w:val="Heading2"/>
      </w:pPr>
      <w:r>
        <w:rPr>
          <w:color w:val="0066AA"/>
        </w:rPr>
        <w:t>Description générale</w:t>
      </w:r>
    </w:p>
    <w:p>
      <w:r>
        <w:t>Le présent DOE rassemble les plans de récolement, les synoptiques, les notices techniques, les certificats, les procès-verbaux d'essais, les garanties et les documents de maintenance des installations de plomberie du bâtiment.</w:t>
      </w:r>
    </w:p>
    <w:p>
      <w:pPr>
        <w:pStyle w:val="Heading2"/>
      </w:pPr>
      <w:r>
        <w:rPr>
          <w:color w:val="0066AA"/>
        </w:rPr>
        <w:t>Inventaire des réseaux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CFEFFF"/>
          </w:tcPr>
          <w:p>
            <w:r>
              <w:t>Réseau</w:t>
            </w:r>
          </w:p>
        </w:tc>
        <w:tc>
          <w:tcPr>
            <w:tcW w:type="dxa" w:w="2160"/>
            <w:shd w:fill="CFEFFF"/>
          </w:tcPr>
          <w:p>
            <w:r>
              <w:t>Diamètre</w:t>
            </w:r>
          </w:p>
        </w:tc>
        <w:tc>
          <w:tcPr>
            <w:tcW w:type="dxa" w:w="2160"/>
            <w:shd w:fill="CFEFFF"/>
          </w:tcPr>
          <w:p>
            <w:r>
              <w:t>Longueur</w:t>
            </w:r>
          </w:p>
        </w:tc>
        <w:tc>
          <w:tcPr>
            <w:tcW w:type="dxa" w:w="2160"/>
            <w:shd w:fill="CFEFFF"/>
          </w:tcPr>
          <w:p>
            <w:r>
              <w:t>Statut</w:t>
            </w:r>
          </w:p>
        </w:tc>
      </w:tr>
      <w:tr>
        <w:tc>
          <w:tcPr>
            <w:tcW w:type="dxa" w:w="2160"/>
          </w:tcPr>
          <w:p>
            <w:r>
              <w:t>EF</w:t>
            </w:r>
          </w:p>
        </w:tc>
        <w:tc>
          <w:tcPr>
            <w:tcW w:type="dxa" w:w="2160"/>
          </w:tcPr>
          <w:p>
            <w:r>
              <w:t>DN20 à DN150</w:t>
            </w:r>
          </w:p>
        </w:tc>
        <w:tc>
          <w:tcPr>
            <w:tcW w:type="dxa" w:w="2160"/>
          </w:tcPr>
          <w:p>
            <w:r>
              <w:t>1 280 m</w:t>
            </w:r>
          </w:p>
        </w:tc>
        <w:tc>
          <w:tcPr>
            <w:tcW w:type="dxa" w:w="2160"/>
          </w:tcPr>
          <w:p>
            <w:r>
              <w:t>Conforme</w:t>
            </w:r>
          </w:p>
        </w:tc>
      </w:tr>
      <w:tr>
        <w:tc>
          <w:tcPr>
            <w:tcW w:type="dxa" w:w="2160"/>
          </w:tcPr>
          <w:p>
            <w:r>
              <w:t>ECS</w:t>
            </w:r>
          </w:p>
        </w:tc>
        <w:tc>
          <w:tcPr>
            <w:tcW w:type="dxa" w:w="2160"/>
          </w:tcPr>
          <w:p>
            <w:r>
              <w:t>DN20 à DN100</w:t>
            </w:r>
          </w:p>
        </w:tc>
        <w:tc>
          <w:tcPr>
            <w:tcW w:type="dxa" w:w="2160"/>
          </w:tcPr>
          <w:p>
            <w:r>
              <w:t>940 m</w:t>
            </w:r>
          </w:p>
        </w:tc>
        <w:tc>
          <w:tcPr>
            <w:tcW w:type="dxa" w:w="2160"/>
          </w:tcPr>
          <w:p>
            <w:r>
              <w:t>Conforme</w:t>
            </w:r>
          </w:p>
        </w:tc>
      </w:tr>
      <w:tr>
        <w:tc>
          <w:tcPr>
            <w:tcW w:type="dxa" w:w="2160"/>
          </w:tcPr>
          <w:p>
            <w:r>
              <w:t>Bouclage ECS</w:t>
            </w:r>
          </w:p>
        </w:tc>
        <w:tc>
          <w:tcPr>
            <w:tcW w:type="dxa" w:w="2160"/>
          </w:tcPr>
          <w:p>
            <w:r>
              <w:t>DN20 à DN65</w:t>
            </w:r>
          </w:p>
        </w:tc>
        <w:tc>
          <w:tcPr>
            <w:tcW w:type="dxa" w:w="2160"/>
          </w:tcPr>
          <w:p>
            <w:r>
              <w:t>420 m</w:t>
            </w:r>
          </w:p>
        </w:tc>
        <w:tc>
          <w:tcPr>
            <w:tcW w:type="dxa" w:w="2160"/>
          </w:tcPr>
          <w:p>
            <w:r>
              <w:t>Conforme</w:t>
            </w:r>
          </w:p>
        </w:tc>
      </w:tr>
      <w:tr>
        <w:tc>
          <w:tcPr>
            <w:tcW w:type="dxa" w:w="2160"/>
          </w:tcPr>
          <w:p>
            <w:r>
              <w:t>EU/EV</w:t>
            </w:r>
          </w:p>
        </w:tc>
        <w:tc>
          <w:tcPr>
            <w:tcW w:type="dxa" w:w="2160"/>
          </w:tcPr>
          <w:p>
            <w:r>
              <w:t>PVC DN50 à DN200</w:t>
            </w:r>
          </w:p>
        </w:tc>
        <w:tc>
          <w:tcPr>
            <w:tcW w:type="dxa" w:w="2160"/>
          </w:tcPr>
          <w:p>
            <w:r>
              <w:t>1 460 m</w:t>
            </w:r>
          </w:p>
        </w:tc>
        <w:tc>
          <w:tcPr>
            <w:tcW w:type="dxa" w:w="2160"/>
          </w:tcPr>
          <w:p>
            <w:r>
              <w:t>Conforme</w:t>
            </w:r>
          </w:p>
        </w:tc>
      </w:tr>
      <w:tr>
        <w:tc>
          <w:tcPr>
            <w:tcW w:type="dxa" w:w="2160"/>
          </w:tcPr>
          <w:p>
            <w:r>
              <w:t>EP</w:t>
            </w:r>
          </w:p>
        </w:tc>
        <w:tc>
          <w:tcPr>
            <w:tcW w:type="dxa" w:w="2160"/>
          </w:tcPr>
          <w:p>
            <w:r>
              <w:t>PVC DN80 à DN250</w:t>
            </w:r>
          </w:p>
        </w:tc>
        <w:tc>
          <w:tcPr>
            <w:tcW w:type="dxa" w:w="2160"/>
          </w:tcPr>
          <w:p>
            <w:r>
              <w:t>1 180 m</w:t>
            </w:r>
          </w:p>
        </w:tc>
        <w:tc>
          <w:tcPr>
            <w:tcW w:type="dxa" w:w="2160"/>
          </w:tcPr>
          <w:p>
            <w:r>
              <w:t>Conforme</w:t>
            </w:r>
          </w:p>
        </w:tc>
      </w:tr>
    </w:tbl>
    <w:p/>
    <w:p>
      <w:pPr>
        <w:pStyle w:val="Heading2"/>
      </w:pPr>
      <w:r>
        <w:rPr>
          <w:color w:val="0066AA"/>
        </w:rPr>
        <w:t>Inventaire des équipements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CFEFFF"/>
          </w:tcPr>
          <w:p>
            <w:r>
              <w:t>Équipement</w:t>
            </w:r>
          </w:p>
        </w:tc>
        <w:tc>
          <w:tcPr>
            <w:tcW w:type="dxa" w:w="1728"/>
            <w:shd w:fill="CFEFFF"/>
          </w:tcPr>
          <w:p>
            <w:r>
              <w:t>Qté</w:t>
            </w:r>
          </w:p>
        </w:tc>
        <w:tc>
          <w:tcPr>
            <w:tcW w:type="dxa" w:w="1728"/>
            <w:shd w:fill="CFEFFF"/>
          </w:tcPr>
          <w:p>
            <w:r>
              <w:t>Marque</w:t>
            </w:r>
          </w:p>
        </w:tc>
        <w:tc>
          <w:tcPr>
            <w:tcW w:type="dxa" w:w="1728"/>
            <w:shd w:fill="CFEFFF"/>
          </w:tcPr>
          <w:p>
            <w:r>
              <w:t>Garantie</w:t>
            </w:r>
          </w:p>
        </w:tc>
        <w:tc>
          <w:tcPr>
            <w:tcW w:type="dxa" w:w="1728"/>
            <w:shd w:fill="CFEFFF"/>
          </w:tcPr>
          <w:p>
            <w:r>
              <w:t>Local</w:t>
            </w:r>
          </w:p>
        </w:tc>
      </w:tr>
      <w:tr>
        <w:tc>
          <w:tcPr>
            <w:tcW w:type="dxa" w:w="1728"/>
          </w:tcPr>
          <w:p>
            <w:r>
              <w:t>Surpresseurs</w:t>
            </w:r>
          </w:p>
        </w:tc>
        <w:tc>
          <w:tcPr>
            <w:tcW w:type="dxa" w:w="1728"/>
          </w:tcPr>
          <w:p>
            <w:r>
              <w:t>2</w:t>
            </w:r>
          </w:p>
        </w:tc>
        <w:tc>
          <w:tcPr>
            <w:tcW w:type="dxa" w:w="1728"/>
          </w:tcPr>
          <w:p>
            <w:r>
              <w:t>Grundfos</w:t>
            </w:r>
          </w:p>
        </w:tc>
        <w:tc>
          <w:tcPr>
            <w:tcW w:type="dxa" w:w="1728"/>
          </w:tcPr>
          <w:p>
            <w:r>
              <w:t>24 mois</w:t>
            </w:r>
          </w:p>
        </w:tc>
        <w:tc>
          <w:tcPr>
            <w:tcW w:type="dxa" w:w="1728"/>
          </w:tcPr>
          <w:p>
            <w:r>
              <w:t>Local technique</w:t>
            </w:r>
          </w:p>
        </w:tc>
      </w:tr>
      <w:tr>
        <w:tc>
          <w:tcPr>
            <w:tcW w:type="dxa" w:w="1728"/>
          </w:tcPr>
          <w:p>
            <w:r>
              <w:t>Ballons ECS</w:t>
            </w:r>
          </w:p>
        </w:tc>
        <w:tc>
          <w:tcPr>
            <w:tcW w:type="dxa" w:w="1728"/>
          </w:tcPr>
          <w:p>
            <w:r>
              <w:t>4</w:t>
            </w:r>
          </w:p>
        </w:tc>
        <w:tc>
          <w:tcPr>
            <w:tcW w:type="dxa" w:w="1728"/>
          </w:tcPr>
          <w:p>
            <w:r>
              <w:t>Atlantic</w:t>
            </w:r>
          </w:p>
        </w:tc>
        <w:tc>
          <w:tcPr>
            <w:tcW w:type="dxa" w:w="1728"/>
          </w:tcPr>
          <w:p>
            <w:r>
              <w:t>24 mois</w:t>
            </w:r>
          </w:p>
        </w:tc>
        <w:tc>
          <w:tcPr>
            <w:tcW w:type="dxa" w:w="1728"/>
          </w:tcPr>
          <w:p>
            <w:r>
              <w:t>Sous-sol</w:t>
            </w:r>
          </w:p>
        </w:tc>
      </w:tr>
      <w:tr>
        <w:tc>
          <w:tcPr>
            <w:tcW w:type="dxa" w:w="1728"/>
          </w:tcPr>
          <w:p>
            <w:r>
              <w:t>Pompes bouclage</w:t>
            </w:r>
          </w:p>
        </w:tc>
        <w:tc>
          <w:tcPr>
            <w:tcW w:type="dxa" w:w="1728"/>
          </w:tcPr>
          <w:p>
            <w:r>
              <w:t>6</w:t>
            </w:r>
          </w:p>
        </w:tc>
        <w:tc>
          <w:tcPr>
            <w:tcW w:type="dxa" w:w="1728"/>
          </w:tcPr>
          <w:p>
            <w:r>
              <w:t>Wilo</w:t>
            </w:r>
          </w:p>
        </w:tc>
        <w:tc>
          <w:tcPr>
            <w:tcW w:type="dxa" w:w="1728"/>
          </w:tcPr>
          <w:p>
            <w:r>
              <w:t>24 mois</w:t>
            </w:r>
          </w:p>
        </w:tc>
        <w:tc>
          <w:tcPr>
            <w:tcW w:type="dxa" w:w="1728"/>
          </w:tcPr>
          <w:p>
            <w:r>
              <w:t>Sous-sol</w:t>
            </w:r>
          </w:p>
        </w:tc>
      </w:tr>
      <w:tr>
        <w:tc>
          <w:tcPr>
            <w:tcW w:type="dxa" w:w="1728"/>
          </w:tcPr>
          <w:p>
            <w:r>
              <w:t>Collecteurs</w:t>
            </w:r>
          </w:p>
        </w:tc>
        <w:tc>
          <w:tcPr>
            <w:tcW w:type="dxa" w:w="1728"/>
          </w:tcPr>
          <w:p>
            <w:r>
              <w:t>18</w:t>
            </w:r>
          </w:p>
        </w:tc>
        <w:tc>
          <w:tcPr>
            <w:tcW w:type="dxa" w:w="1728"/>
          </w:tcPr>
          <w:p>
            <w:r>
              <w:t>Comap</w:t>
            </w:r>
          </w:p>
        </w:tc>
        <w:tc>
          <w:tcPr>
            <w:tcW w:type="dxa" w:w="1728"/>
          </w:tcPr>
          <w:p>
            <w:r>
              <w:t>10 ans</w:t>
            </w:r>
          </w:p>
        </w:tc>
        <w:tc>
          <w:tcPr>
            <w:tcW w:type="dxa" w:w="1728"/>
          </w:tcPr>
          <w:p>
            <w:r>
              <w:t>Colonnes</w:t>
            </w:r>
          </w:p>
        </w:tc>
      </w:tr>
      <w:tr>
        <w:tc>
          <w:tcPr>
            <w:tcW w:type="dxa" w:w="1728"/>
          </w:tcPr>
          <w:p>
            <w:r>
              <w:t>Compteurs</w:t>
            </w:r>
          </w:p>
        </w:tc>
        <w:tc>
          <w:tcPr>
            <w:tcW w:type="dxa" w:w="1728"/>
          </w:tcPr>
          <w:p>
            <w:r>
              <w:t>18</w:t>
            </w:r>
          </w:p>
        </w:tc>
        <w:tc>
          <w:tcPr>
            <w:tcW w:type="dxa" w:w="1728"/>
          </w:tcPr>
          <w:p>
            <w:r>
              <w:t>Sensus</w:t>
            </w:r>
          </w:p>
        </w:tc>
        <w:tc>
          <w:tcPr>
            <w:tcW w:type="dxa" w:w="1728"/>
          </w:tcPr>
          <w:p>
            <w:r>
              <w:t>24 mois</w:t>
            </w:r>
          </w:p>
        </w:tc>
        <w:tc>
          <w:tcPr>
            <w:tcW w:type="dxa" w:w="1728"/>
          </w:tcPr>
          <w:p>
            <w:r>
              <w:t>Paliers</w:t>
            </w:r>
          </w:p>
        </w:tc>
      </w:tr>
      <w:tr>
        <w:tc>
          <w:tcPr>
            <w:tcW w:type="dxa" w:w="1728"/>
          </w:tcPr>
          <w:p>
            <w:r>
              <w:t>Robinetterie</w:t>
            </w:r>
          </w:p>
        </w:tc>
        <w:tc>
          <w:tcPr>
            <w:tcW w:type="dxa" w:w="1728"/>
          </w:tcPr>
          <w:p>
            <w:r>
              <w:t>245</w:t>
            </w:r>
          </w:p>
        </w:tc>
        <w:tc>
          <w:tcPr>
            <w:tcW w:type="dxa" w:w="1728"/>
          </w:tcPr>
          <w:p>
            <w:r>
              <w:t>Grohe</w:t>
            </w:r>
          </w:p>
        </w:tc>
        <w:tc>
          <w:tcPr>
            <w:tcW w:type="dxa" w:w="1728"/>
          </w:tcPr>
          <w:p>
            <w:r>
              <w:t>10 ans</w:t>
            </w:r>
          </w:p>
        </w:tc>
        <w:tc>
          <w:tcPr>
            <w:tcW w:type="dxa" w:w="1728"/>
          </w:tcPr>
          <w:p>
            <w:r>
              <w:t>Tous niveaux</w:t>
            </w:r>
          </w:p>
        </w:tc>
      </w:tr>
    </w:tbl>
    <w:p/>
    <w:p>
      <w:pPr>
        <w:pStyle w:val="Heading2"/>
      </w:pPr>
      <w:r>
        <w:rPr>
          <w:color w:val="0066AA"/>
        </w:rPr>
        <w:t>Essais et contrôles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CFEFFF"/>
          </w:tcPr>
          <w:p>
            <w:r>
              <w:t>Essai</w:t>
            </w:r>
          </w:p>
        </w:tc>
        <w:tc>
          <w:tcPr>
            <w:tcW w:type="dxa" w:w="2160"/>
            <w:shd w:fill="CFEFFF"/>
          </w:tcPr>
          <w:p>
            <w:r>
              <w:t>Norme</w:t>
            </w:r>
          </w:p>
        </w:tc>
        <w:tc>
          <w:tcPr>
            <w:tcW w:type="dxa" w:w="2160"/>
            <w:shd w:fill="CFEFFF"/>
          </w:tcPr>
          <w:p>
            <w:r>
              <w:t>Résultat</w:t>
            </w:r>
          </w:p>
        </w:tc>
        <w:tc>
          <w:tcPr>
            <w:tcW w:type="dxa" w:w="2160"/>
            <w:shd w:fill="CFEFFF"/>
          </w:tcPr>
          <w:p>
            <w:r>
              <w:t>Visa</w:t>
            </w:r>
          </w:p>
        </w:tc>
      </w:tr>
      <w:tr>
        <w:tc>
          <w:tcPr>
            <w:tcW w:type="dxa" w:w="2160"/>
          </w:tcPr>
          <w:p>
            <w:r>
              <w:t>Épreuve pression EF</w:t>
            </w:r>
          </w:p>
        </w:tc>
        <w:tc>
          <w:tcPr>
            <w:tcW w:type="dxa" w:w="2160"/>
          </w:tcPr>
          <w:p>
            <w:r>
              <w:t>NF EN 806</w:t>
            </w:r>
          </w:p>
        </w:tc>
        <w:tc>
          <w:tcPr>
            <w:tcW w:type="dxa" w:w="2160"/>
          </w:tcPr>
          <w:p>
            <w:r>
              <w:t>Conforme</w:t>
            </w:r>
          </w:p>
        </w:tc>
        <w:tc>
          <w:tcPr>
            <w:tcW w:type="dxa" w:w="2160"/>
          </w:tcPr>
          <w:p>
            <w:r>
              <w:t>✓</w:t>
            </w:r>
          </w:p>
        </w:tc>
      </w:tr>
      <w:tr>
        <w:tc>
          <w:tcPr>
            <w:tcW w:type="dxa" w:w="2160"/>
          </w:tcPr>
          <w:p>
            <w:r>
              <w:t>Épreuve ECS</w:t>
            </w:r>
          </w:p>
        </w:tc>
        <w:tc>
          <w:tcPr>
            <w:tcW w:type="dxa" w:w="2160"/>
          </w:tcPr>
          <w:p>
            <w:r>
              <w:t>NF EN 806</w:t>
            </w:r>
          </w:p>
        </w:tc>
        <w:tc>
          <w:tcPr>
            <w:tcW w:type="dxa" w:w="2160"/>
          </w:tcPr>
          <w:p>
            <w:r>
              <w:t>Conforme</w:t>
            </w:r>
          </w:p>
        </w:tc>
        <w:tc>
          <w:tcPr>
            <w:tcW w:type="dxa" w:w="2160"/>
          </w:tcPr>
          <w:p>
            <w:r>
              <w:t>✓</w:t>
            </w:r>
          </w:p>
        </w:tc>
      </w:tr>
      <w:tr>
        <w:tc>
          <w:tcPr>
            <w:tcW w:type="dxa" w:w="2160"/>
          </w:tcPr>
          <w:p>
            <w:r>
              <w:t>Étanchéité EU/EV</w:t>
            </w:r>
          </w:p>
        </w:tc>
        <w:tc>
          <w:tcPr>
            <w:tcW w:type="dxa" w:w="2160"/>
          </w:tcPr>
          <w:p>
            <w:r>
              <w:t>DTU</w:t>
            </w:r>
          </w:p>
        </w:tc>
        <w:tc>
          <w:tcPr>
            <w:tcW w:type="dxa" w:w="2160"/>
          </w:tcPr>
          <w:p>
            <w:r>
              <w:t>Conforme</w:t>
            </w:r>
          </w:p>
        </w:tc>
        <w:tc>
          <w:tcPr>
            <w:tcW w:type="dxa" w:w="2160"/>
          </w:tcPr>
          <w:p>
            <w:r>
              <w:t>✓</w:t>
            </w:r>
          </w:p>
        </w:tc>
      </w:tr>
      <w:tr>
        <w:tc>
          <w:tcPr>
            <w:tcW w:type="dxa" w:w="2160"/>
          </w:tcPr>
          <w:p>
            <w:r>
              <w:t>Débit EP</w:t>
            </w:r>
          </w:p>
        </w:tc>
        <w:tc>
          <w:tcPr>
            <w:tcW w:type="dxa" w:w="2160"/>
          </w:tcPr>
          <w:p>
            <w:r>
              <w:t>DTU</w:t>
            </w:r>
          </w:p>
        </w:tc>
        <w:tc>
          <w:tcPr>
            <w:tcW w:type="dxa" w:w="2160"/>
          </w:tcPr>
          <w:p>
            <w:r>
              <w:t>Conforme</w:t>
            </w:r>
          </w:p>
        </w:tc>
        <w:tc>
          <w:tcPr>
            <w:tcW w:type="dxa" w:w="2160"/>
          </w:tcPr>
          <w:p>
            <w:r>
              <w:t>✓</w:t>
            </w:r>
          </w:p>
        </w:tc>
      </w:tr>
      <w:tr>
        <w:tc>
          <w:tcPr>
            <w:tcW w:type="dxa" w:w="2160"/>
          </w:tcPr>
          <w:p>
            <w:r>
              <w:t>Température ECS</w:t>
            </w:r>
          </w:p>
        </w:tc>
        <w:tc>
          <w:tcPr>
            <w:tcW w:type="dxa" w:w="2160"/>
          </w:tcPr>
          <w:p>
            <w:r>
              <w:t>60°C</w:t>
            </w:r>
          </w:p>
        </w:tc>
        <w:tc>
          <w:tcPr>
            <w:tcW w:type="dxa" w:w="2160"/>
          </w:tcPr>
          <w:p>
            <w:r>
              <w:t>Conforme</w:t>
            </w:r>
          </w:p>
        </w:tc>
        <w:tc>
          <w:tcPr>
            <w:tcW w:type="dxa" w:w="2160"/>
          </w:tcPr>
          <w:p>
            <w:r>
              <w:t>✓</w:t>
            </w:r>
          </w:p>
        </w:tc>
      </w:tr>
    </w:tbl>
    <w:p/>
    <w:p>
      <w:pPr>
        <w:pStyle w:val="Heading2"/>
      </w:pPr>
      <w:r>
        <w:rPr>
          <w:color w:val="0066AA"/>
        </w:rPr>
        <w:t>Plan de maintenance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CFEFFF"/>
          </w:tcPr>
          <w:p>
            <w:r>
              <w:t>Équipement</w:t>
            </w:r>
          </w:p>
        </w:tc>
        <w:tc>
          <w:tcPr>
            <w:tcW w:type="dxa" w:w="2160"/>
            <w:shd w:fill="CFEFFF"/>
          </w:tcPr>
          <w:p>
            <w:r>
              <w:t>Mensuel</w:t>
            </w:r>
          </w:p>
        </w:tc>
        <w:tc>
          <w:tcPr>
            <w:tcW w:type="dxa" w:w="2160"/>
            <w:shd w:fill="CFEFFF"/>
          </w:tcPr>
          <w:p>
            <w:r>
              <w:t>Trimestriel</w:t>
            </w:r>
          </w:p>
        </w:tc>
        <w:tc>
          <w:tcPr>
            <w:tcW w:type="dxa" w:w="2160"/>
            <w:shd w:fill="CFEFFF"/>
          </w:tcPr>
          <w:p>
            <w:r>
              <w:t>Annuel</w:t>
            </w:r>
          </w:p>
        </w:tc>
      </w:tr>
      <w:tr>
        <w:tc>
          <w:tcPr>
            <w:tcW w:type="dxa" w:w="2160"/>
          </w:tcPr>
          <w:p>
            <w:r>
              <w:t>Surpresseurs</w:t>
            </w:r>
          </w:p>
        </w:tc>
        <w:tc>
          <w:tcPr>
            <w:tcW w:type="dxa" w:w="2160"/>
          </w:tcPr>
          <w:p>
            <w:r>
              <w:t>Inspection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Révision</w:t>
            </w:r>
          </w:p>
        </w:tc>
      </w:tr>
      <w:tr>
        <w:tc>
          <w:tcPr>
            <w:tcW w:type="dxa" w:w="2160"/>
          </w:tcPr>
          <w:p>
            <w:r>
              <w:t>Ballons ECS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Contrôle</w:t>
            </w:r>
          </w:p>
        </w:tc>
        <w:tc>
          <w:tcPr>
            <w:tcW w:type="dxa" w:w="2160"/>
          </w:tcPr>
          <w:p>
            <w:r>
              <w:t>Détartrage</w:t>
            </w:r>
          </w:p>
        </w:tc>
      </w:tr>
      <w:tr>
        <w:tc>
          <w:tcPr>
            <w:tcW w:type="dxa" w:w="2160"/>
          </w:tcPr>
          <w:p>
            <w:r>
              <w:t>Pompes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Graissage</w:t>
            </w:r>
          </w:p>
        </w:tc>
        <w:tc>
          <w:tcPr>
            <w:tcW w:type="dxa" w:w="2160"/>
          </w:tcPr>
          <w:p>
            <w:r>
              <w:t>Révision</w:t>
            </w:r>
          </w:p>
        </w:tc>
      </w:tr>
      <w:tr>
        <w:tc>
          <w:tcPr>
            <w:tcW w:type="dxa" w:w="2160"/>
          </w:tcPr>
          <w:p>
            <w:r>
              <w:t>Vannes</w:t>
            </w:r>
          </w:p>
        </w:tc>
        <w:tc>
          <w:tcPr>
            <w:tcW w:type="dxa" w:w="2160"/>
          </w:tcPr>
          <w:p>
            <w:r>
              <w:t>Manœuvre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Contrôle</w:t>
            </w:r>
          </w:p>
        </w:tc>
      </w:tr>
      <w:tr>
        <w:tc>
          <w:tcPr>
            <w:tcW w:type="dxa" w:w="2160"/>
          </w:tcPr>
          <w:p>
            <w:r>
              <w:t>Compteurs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Vérification</w:t>
            </w:r>
          </w:p>
        </w:tc>
      </w:tr>
    </w:tbl>
    <w:p/>
    <w:p>
      <w:pPr>
        <w:pStyle w:val="Heading2"/>
      </w:pPr>
      <w:r>
        <w:rPr>
          <w:color w:val="0066AA"/>
        </w:rPr>
        <w:t>Documents remis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CFEFFF"/>
          </w:tcPr>
          <w:p>
            <w:r>
              <w:t>Document</w:t>
            </w:r>
          </w:p>
        </w:tc>
        <w:tc>
          <w:tcPr>
            <w:tcW w:type="dxa" w:w="2880"/>
            <w:shd w:fill="CFEFFF"/>
          </w:tcPr>
          <w:p>
            <w:r>
              <w:t>Format</w:t>
            </w:r>
          </w:p>
        </w:tc>
        <w:tc>
          <w:tcPr>
            <w:tcW w:type="dxa" w:w="2880"/>
            <w:shd w:fill="CFEFFF"/>
          </w:tcPr>
          <w:p>
            <w:r>
              <w:t>Version</w:t>
            </w:r>
          </w:p>
        </w:tc>
      </w:tr>
      <w:tr>
        <w:tc>
          <w:tcPr>
            <w:tcW w:type="dxa" w:w="2880"/>
          </w:tcPr>
          <w:p>
            <w:r>
              <w:t>Plans de récolement</w:t>
            </w:r>
          </w:p>
        </w:tc>
        <w:tc>
          <w:tcPr>
            <w:tcW w:type="dxa" w:w="2880"/>
          </w:tcPr>
          <w:p>
            <w:r>
              <w:t>PDF/DWG</w:t>
            </w:r>
          </w:p>
        </w:tc>
        <w:tc>
          <w:tcPr>
            <w:tcW w:type="dxa" w:w="2880"/>
          </w:tcPr>
          <w:p>
            <w:r>
              <w:t>V5</w:t>
            </w:r>
          </w:p>
        </w:tc>
      </w:tr>
      <w:tr>
        <w:tc>
          <w:tcPr>
            <w:tcW w:type="dxa" w:w="2880"/>
          </w:tcPr>
          <w:p>
            <w:r>
              <w:t>Synoptiques</w:t>
            </w:r>
          </w:p>
        </w:tc>
        <w:tc>
          <w:tcPr>
            <w:tcW w:type="dxa" w:w="2880"/>
          </w:tcPr>
          <w:p>
            <w:r>
              <w:t>PDF</w:t>
            </w:r>
          </w:p>
        </w:tc>
        <w:tc>
          <w:tcPr>
            <w:tcW w:type="dxa" w:w="2880"/>
          </w:tcPr>
          <w:p>
            <w:r>
              <w:t>V3</w:t>
            </w:r>
          </w:p>
        </w:tc>
      </w:tr>
      <w:tr>
        <w:tc>
          <w:tcPr>
            <w:tcW w:type="dxa" w:w="2880"/>
          </w:tcPr>
          <w:p>
            <w:r>
              <w:t>Notices fabricants</w:t>
            </w:r>
          </w:p>
        </w:tc>
        <w:tc>
          <w:tcPr>
            <w:tcW w:type="dxa" w:w="2880"/>
          </w:tcPr>
          <w:p>
            <w:r>
              <w:t>PDF</w:t>
            </w:r>
          </w:p>
        </w:tc>
        <w:tc>
          <w:tcPr>
            <w:tcW w:type="dxa" w:w="2880"/>
          </w:tcPr>
          <w:p>
            <w:r>
              <w:t>V1</w:t>
            </w:r>
          </w:p>
        </w:tc>
      </w:tr>
      <w:tr>
        <w:tc>
          <w:tcPr>
            <w:tcW w:type="dxa" w:w="2880"/>
          </w:tcPr>
          <w:p>
            <w:r>
              <w:t>PV essais</w:t>
            </w:r>
          </w:p>
        </w:tc>
        <w:tc>
          <w:tcPr>
            <w:tcW w:type="dxa" w:w="2880"/>
          </w:tcPr>
          <w:p>
            <w:r>
              <w:t>PDF</w:t>
            </w:r>
          </w:p>
        </w:tc>
        <w:tc>
          <w:tcPr>
            <w:tcW w:type="dxa" w:w="2880"/>
          </w:tcPr>
          <w:p>
            <w:r>
              <w:t>V1</w:t>
            </w:r>
          </w:p>
        </w:tc>
      </w:tr>
      <w:tr>
        <w:tc>
          <w:tcPr>
            <w:tcW w:type="dxa" w:w="2880"/>
          </w:tcPr>
          <w:p>
            <w:r>
              <w:t>Garanties</w:t>
            </w:r>
          </w:p>
        </w:tc>
        <w:tc>
          <w:tcPr>
            <w:tcW w:type="dxa" w:w="2880"/>
          </w:tcPr>
          <w:p>
            <w:r>
              <w:t>PDF</w:t>
            </w:r>
          </w:p>
        </w:tc>
        <w:tc>
          <w:tcPr>
            <w:tcW w:type="dxa" w:w="2880"/>
          </w:tcPr>
          <w:p>
            <w:r>
              <w:t>V1</w:t>
            </w:r>
          </w:p>
        </w:tc>
      </w:tr>
      <w:tr>
        <w:tc>
          <w:tcPr>
            <w:tcW w:type="dxa" w:w="2880"/>
          </w:tcPr>
          <w:p>
            <w:r>
              <w:t>Album photographique</w:t>
            </w:r>
          </w:p>
        </w:tc>
        <w:tc>
          <w:tcPr>
            <w:tcW w:type="dxa" w:w="2880"/>
          </w:tcPr>
          <w:p>
            <w:r>
              <w:t>PDF</w:t>
            </w:r>
          </w:p>
        </w:tc>
        <w:tc>
          <w:tcPr>
            <w:tcW w:type="dxa" w:w="2880"/>
          </w:tcPr>
          <w:p>
            <w:r>
              <w:t>V1</w:t>
            </w:r>
          </w:p>
        </w:tc>
      </w:tr>
    </w:tbl>
    <w:p/>
    <w:p>
      <w:pPr>
        <w:pStyle w:val="Heading2"/>
      </w:pPr>
      <w:r>
        <w:rPr>
          <w:color w:val="0066AA"/>
        </w:rPr>
        <w:t>Check-list finale (extrait)</w:t>
      </w:r>
    </w:p>
    <w:p>
      <w:pPr>
        <w:pStyle w:val="ListBullet"/>
      </w:pPr>
      <w:r>
        <w:t>☐ Tous les plans de récolement sont validés</w:t>
      </w:r>
    </w:p>
    <w:p>
      <w:pPr>
        <w:pStyle w:val="ListBullet"/>
      </w:pPr>
      <w:r>
        <w:t>☐ Les réseaux EF, ECS, EU, EV et EP sont repérés</w:t>
      </w:r>
    </w:p>
    <w:p>
      <w:pPr>
        <w:pStyle w:val="ListBullet"/>
      </w:pPr>
      <w:r>
        <w:t>☐ Les essais de pression sont archivés</w:t>
      </w:r>
    </w:p>
    <w:p>
      <w:pPr>
        <w:pStyle w:val="ListBullet"/>
      </w:pPr>
      <w:r>
        <w:t>☐ Les certificats de conformité sont joints</w:t>
      </w:r>
    </w:p>
    <w:p>
      <w:pPr>
        <w:pStyle w:val="ListBullet"/>
      </w:pPr>
      <w:r>
        <w:t>☐ Les notices techniques sont classées</w:t>
      </w:r>
    </w:p>
    <w:p>
      <w:pPr>
        <w:pStyle w:val="ListBullet"/>
      </w:pPr>
      <w:r>
        <w:t>☐ Les garanties sont annexées</w:t>
      </w:r>
    </w:p>
    <w:p>
      <w:pPr>
        <w:pStyle w:val="ListBullet"/>
      </w:pPr>
      <w:r>
        <w:t>☐ Les fichiers PDF, DWG et IFC sont livrés</w:t>
      </w:r>
    </w:p>
    <w:p>
      <w:pPr>
        <w:pStyle w:val="ListBullet"/>
      </w:pPr>
      <w:r>
        <w:t>☐ Les visas MOA, MOE et entreprise sont obtenus</w:t>
      </w:r>
    </w:p>
    <w:p>
      <w:pPr>
        <w:pStyle w:val="ListBullet"/>
      </w:pPr>
      <w:r>
        <w:t>☐ Le carnet de maintenance est remis</w:t>
      </w:r>
    </w:p>
    <w:p>
      <w:pPr>
        <w:pStyle w:val="ListBullet"/>
      </w:pPr>
      <w:r>
        <w:t>☐ Le DOE numérique est archivé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