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682"/>
          <w:sz w:val="48"/>
        </w:rPr>
        <w:t>DOSSIER DES OUVRAGES EXÉCUTÉS</w:t>
        <w:br/>
      </w:r>
      <w:r>
        <w:rPr>
          <w:b/>
          <w:color w:val="008C78"/>
          <w:sz w:val="36"/>
        </w:rPr>
        <w:t>LOT CVC</w:t>
        <w:br/>
      </w:r>
      <w:r>
        <w:t>Version Premium – Chauffage • Ventilation • Climatisation</w:t>
      </w:r>
    </w:p>
    <w:p>
      <w:pPr>
        <w:pStyle w:val="Heading2"/>
      </w:pPr>
      <w:r>
        <w:rPr>
          <w:color w:val="00528C"/>
        </w:rPr>
        <w:t>Identification du projet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CEEF8"/>
          </w:tcPr>
          <w:p>
            <w:r>
              <w:t>Champ</w:t>
            </w:r>
          </w:p>
        </w:tc>
        <w:tc>
          <w:tcPr>
            <w:tcW w:type="dxa" w:w="4320"/>
            <w:shd w:fill="DCEEF8"/>
          </w:tcPr>
          <w:p>
            <w:r>
              <w:t>Valeur</w:t>
            </w:r>
          </w:p>
        </w:tc>
      </w:tr>
      <w:tr>
        <w:tc>
          <w:tcPr>
            <w:tcW w:type="dxa" w:w="4320"/>
          </w:tcPr>
          <w:p>
            <w:r>
              <w:t>Projet</w:t>
            </w:r>
          </w:p>
        </w:tc>
        <w:tc>
          <w:tcPr>
            <w:tcW w:type="dxa" w:w="4320"/>
          </w:tcPr>
          <w:p>
            <w:r>
              <w:t>Centre administratif R+6</w:t>
            </w:r>
          </w:p>
        </w:tc>
      </w:tr>
      <w:tr>
        <w:tc>
          <w:tcPr>
            <w:tcW w:type="dxa" w:w="4320"/>
          </w:tcPr>
          <w:p>
            <w:r>
              <w:t>MOA</w:t>
            </w:r>
          </w:p>
        </w:tc>
        <w:tc>
          <w:tcPr>
            <w:tcW w:type="dxa" w:w="4320"/>
          </w:tcPr>
          <w:p>
            <w:r>
              <w:t>Horizon Immobilier</w:t>
            </w:r>
          </w:p>
        </w:tc>
      </w:tr>
      <w:tr>
        <w:tc>
          <w:tcPr>
            <w:tcW w:type="dxa" w:w="4320"/>
          </w:tcPr>
          <w:p>
            <w:r>
              <w:t>BET Fluides</w:t>
            </w:r>
          </w:p>
        </w:tc>
        <w:tc>
          <w:tcPr>
            <w:tcW w:type="dxa" w:w="4320"/>
          </w:tcPr>
          <w:p>
            <w:r>
              <w:t>Fluides Ingénierie</w:t>
            </w:r>
          </w:p>
        </w:tc>
      </w:tr>
      <w:tr>
        <w:tc>
          <w:tcPr>
            <w:tcW w:type="dxa" w:w="4320"/>
          </w:tcPr>
          <w:p>
            <w:r>
              <w:t>Entreprise CVC</w:t>
            </w:r>
          </w:p>
        </w:tc>
        <w:tc>
          <w:tcPr>
            <w:tcW w:type="dxa" w:w="4320"/>
          </w:tcPr>
          <w:p>
            <w:r>
              <w:t>ClimaTech Services</w:t>
            </w:r>
          </w:p>
        </w:tc>
      </w:tr>
      <w:tr>
        <w:tc>
          <w:tcPr>
            <w:tcW w:type="dxa" w:w="4320"/>
          </w:tcPr>
          <w:p>
            <w:r>
              <w:t>Responsable d'affaires</w:t>
            </w:r>
          </w:p>
        </w:tc>
        <w:tc>
          <w:tcPr>
            <w:tcW w:type="dxa" w:w="4320"/>
          </w:tcPr>
          <w:p>
            <w:r>
              <w:t>M. Dupont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18/12/2026</w:t>
            </w:r>
          </w:p>
        </w:tc>
      </w:tr>
    </w:tbl>
    <w:p/>
    <w:p>
      <w:pPr>
        <w:pStyle w:val="Heading2"/>
      </w:pPr>
      <w:r>
        <w:rPr>
          <w:color w:val="00528C"/>
        </w:rPr>
        <w:t>Description des installations</w:t>
      </w:r>
    </w:p>
    <w:p>
      <w:r>
        <w:t>Le DOE couvre les pompes à chaleur, groupes froids, chaudières, CTA, VMC, réseaux hydrauliques, réseaux aérauliques, ventilo-convecteurs, plafonds rayonnants, désenfumage, GTB, régulation, calorifuge et équilibrage.</w:t>
      </w:r>
    </w:p>
    <w:p>
      <w:pPr>
        <w:pStyle w:val="Heading2"/>
      </w:pPr>
      <w:r>
        <w:rPr>
          <w:color w:val="00528C"/>
        </w:rPr>
        <w:t>Inventaire détaillé des équipements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fill="DCEEF8"/>
          </w:tcPr>
          <w:p>
            <w:r>
              <w:t>Équipement</w:t>
            </w:r>
          </w:p>
        </w:tc>
        <w:tc>
          <w:tcPr>
            <w:tcW w:type="dxa" w:w="1440"/>
            <w:shd w:fill="DCEEF8"/>
          </w:tcPr>
          <w:p>
            <w:r>
              <w:t>Marque</w:t>
            </w:r>
          </w:p>
        </w:tc>
        <w:tc>
          <w:tcPr>
            <w:tcW w:type="dxa" w:w="1440"/>
            <w:shd w:fill="DCEEF8"/>
          </w:tcPr>
          <w:p>
            <w:r>
              <w:t>Référence</w:t>
            </w:r>
          </w:p>
        </w:tc>
        <w:tc>
          <w:tcPr>
            <w:tcW w:type="dxa" w:w="1440"/>
            <w:shd w:fill="DCEEF8"/>
          </w:tcPr>
          <w:p>
            <w:r>
              <w:t>Qté</w:t>
            </w:r>
          </w:p>
        </w:tc>
        <w:tc>
          <w:tcPr>
            <w:tcW w:type="dxa" w:w="1440"/>
            <w:shd w:fill="DCEEF8"/>
          </w:tcPr>
          <w:p>
            <w:r>
              <w:t>Puissance</w:t>
            </w:r>
          </w:p>
        </w:tc>
        <w:tc>
          <w:tcPr>
            <w:tcW w:type="dxa" w:w="1440"/>
            <w:shd w:fill="DCEEF8"/>
          </w:tcPr>
          <w:p>
            <w:r>
              <w:t>Garantie</w:t>
            </w:r>
          </w:p>
        </w:tc>
      </w:tr>
      <w:tr>
        <w:tc>
          <w:tcPr>
            <w:tcW w:type="dxa" w:w="1440"/>
          </w:tcPr>
          <w:p>
            <w:r>
              <w:t>Groupe froid</w:t>
            </w:r>
          </w:p>
        </w:tc>
        <w:tc>
          <w:tcPr>
            <w:tcW w:type="dxa" w:w="1440"/>
          </w:tcPr>
          <w:p>
            <w:r>
              <w:t>Carrier</w:t>
            </w:r>
          </w:p>
        </w:tc>
        <w:tc>
          <w:tcPr>
            <w:tcW w:type="dxa" w:w="1440"/>
          </w:tcPr>
          <w:p>
            <w:r>
              <w:t>30XW</w:t>
            </w:r>
          </w:p>
        </w:tc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450 kW</w:t>
            </w:r>
          </w:p>
        </w:tc>
        <w:tc>
          <w:tcPr>
            <w:tcW w:type="dxa" w:w="1440"/>
          </w:tcPr>
          <w:p>
            <w:r>
              <w:t>36 mois</w:t>
            </w:r>
          </w:p>
        </w:tc>
      </w:tr>
      <w:tr>
        <w:tc>
          <w:tcPr>
            <w:tcW w:type="dxa" w:w="1440"/>
          </w:tcPr>
          <w:p>
            <w:r>
              <w:t>PAC</w:t>
            </w:r>
          </w:p>
        </w:tc>
        <w:tc>
          <w:tcPr>
            <w:tcW w:type="dxa" w:w="1440"/>
          </w:tcPr>
          <w:p>
            <w:r>
              <w:t>Daikin</w:t>
            </w:r>
          </w:p>
        </w:tc>
        <w:tc>
          <w:tcPr>
            <w:tcW w:type="dxa" w:w="1440"/>
          </w:tcPr>
          <w:p>
            <w:r>
              <w:t>EWYT</w:t>
            </w:r>
          </w:p>
        </w:tc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320 kW</w:t>
            </w:r>
          </w:p>
        </w:tc>
        <w:tc>
          <w:tcPr>
            <w:tcW w:type="dxa" w:w="1440"/>
          </w:tcPr>
          <w:p>
            <w:r>
              <w:t>36 mois</w:t>
            </w:r>
          </w:p>
        </w:tc>
      </w:tr>
      <w:tr>
        <w:tc>
          <w:tcPr>
            <w:tcW w:type="dxa" w:w="1440"/>
          </w:tcPr>
          <w:p>
            <w:r>
              <w:t>CTA</w:t>
            </w:r>
          </w:p>
        </w:tc>
        <w:tc>
          <w:tcPr>
            <w:tcW w:type="dxa" w:w="1440"/>
          </w:tcPr>
          <w:p>
            <w:r>
              <w:t>CIAT</w:t>
            </w:r>
          </w:p>
        </w:tc>
        <w:tc>
          <w:tcPr>
            <w:tcW w:type="dxa" w:w="1440"/>
          </w:tcPr>
          <w:p>
            <w:r>
              <w:t>Airtech</w:t>
            </w:r>
          </w:p>
        </w:tc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18 000 m³/h</w:t>
            </w:r>
          </w:p>
        </w:tc>
        <w:tc>
          <w:tcPr>
            <w:tcW w:type="dxa" w:w="1440"/>
          </w:tcPr>
          <w:p>
            <w:r>
              <w:t>24 mois</w:t>
            </w:r>
          </w:p>
        </w:tc>
      </w:tr>
      <w:tr>
        <w:tc>
          <w:tcPr>
            <w:tcW w:type="dxa" w:w="1440"/>
          </w:tcPr>
          <w:p>
            <w:r>
              <w:t>Ventilo-convecteurs</w:t>
            </w:r>
          </w:p>
        </w:tc>
        <w:tc>
          <w:tcPr>
            <w:tcW w:type="dxa" w:w="1440"/>
          </w:tcPr>
          <w:p>
            <w:r>
              <w:t>Daikin</w:t>
            </w:r>
          </w:p>
        </w:tc>
        <w:tc>
          <w:tcPr>
            <w:tcW w:type="dxa" w:w="1440"/>
          </w:tcPr>
          <w:p>
            <w:r>
              <w:t>FWV</w:t>
            </w:r>
          </w:p>
        </w:tc>
        <w:tc>
          <w:tcPr>
            <w:tcW w:type="dxa" w:w="1440"/>
          </w:tcPr>
          <w:p>
            <w:r>
              <w:t>185</w:t>
            </w:r>
          </w:p>
        </w:tc>
        <w:tc>
          <w:tcPr>
            <w:tcW w:type="dxa" w:w="1440"/>
          </w:tcPr>
          <w:p>
            <w:r>
              <w:t>-</w:t>
            </w:r>
          </w:p>
        </w:tc>
        <w:tc>
          <w:tcPr>
            <w:tcW w:type="dxa" w:w="1440"/>
          </w:tcPr>
          <w:p>
            <w:r>
              <w:t>24 mois</w:t>
            </w:r>
          </w:p>
        </w:tc>
      </w:tr>
      <w:tr>
        <w:tc>
          <w:tcPr>
            <w:tcW w:type="dxa" w:w="1440"/>
          </w:tcPr>
          <w:p>
            <w:r>
              <w:t>Extracteurs</w:t>
            </w:r>
          </w:p>
        </w:tc>
        <w:tc>
          <w:tcPr>
            <w:tcW w:type="dxa" w:w="1440"/>
          </w:tcPr>
          <w:p>
            <w:r>
              <w:t>Systemair</w:t>
            </w:r>
          </w:p>
        </w:tc>
        <w:tc>
          <w:tcPr>
            <w:tcW w:type="dxa" w:w="1440"/>
          </w:tcPr>
          <w:p>
            <w:r>
              <w:t>KVK</w:t>
            </w:r>
          </w:p>
        </w:tc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-</w:t>
            </w:r>
          </w:p>
        </w:tc>
        <w:tc>
          <w:tcPr>
            <w:tcW w:type="dxa" w:w="1440"/>
          </w:tcPr>
          <w:p>
            <w:r>
              <w:t>24 mois</w:t>
            </w:r>
          </w:p>
        </w:tc>
      </w:tr>
      <w:tr>
        <w:tc>
          <w:tcPr>
            <w:tcW w:type="dxa" w:w="1440"/>
          </w:tcPr>
          <w:p>
            <w:r>
              <w:t>Automates GTB</w:t>
            </w:r>
          </w:p>
        </w:tc>
        <w:tc>
          <w:tcPr>
            <w:tcW w:type="dxa" w:w="1440"/>
          </w:tcPr>
          <w:p>
            <w:r>
              <w:t>Siemens</w:t>
            </w:r>
          </w:p>
        </w:tc>
        <w:tc>
          <w:tcPr>
            <w:tcW w:type="dxa" w:w="1440"/>
          </w:tcPr>
          <w:p>
            <w:r>
              <w:t>Desigo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-</w:t>
            </w:r>
          </w:p>
        </w:tc>
        <w:tc>
          <w:tcPr>
            <w:tcW w:type="dxa" w:w="1440"/>
          </w:tcPr>
          <w:p>
            <w:r>
              <w:t>24 mois</w:t>
            </w:r>
          </w:p>
        </w:tc>
      </w:tr>
    </w:tbl>
    <w:p/>
    <w:p>
      <w:pPr>
        <w:pStyle w:val="Heading2"/>
      </w:pPr>
      <w:r>
        <w:rPr>
          <w:color w:val="00528C"/>
        </w:rPr>
        <w:t>Plans de récolement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CEEF8"/>
          </w:tcPr>
          <w:p>
            <w:r>
              <w:t>Document</w:t>
            </w:r>
          </w:p>
        </w:tc>
        <w:tc>
          <w:tcPr>
            <w:tcW w:type="dxa" w:w="2160"/>
            <w:shd w:fill="DCEEF8"/>
          </w:tcPr>
          <w:p>
            <w:r>
              <w:t>Référence</w:t>
            </w:r>
          </w:p>
        </w:tc>
        <w:tc>
          <w:tcPr>
            <w:tcW w:type="dxa" w:w="2160"/>
            <w:shd w:fill="DCEEF8"/>
          </w:tcPr>
          <w:p>
            <w:r>
              <w:t>Version</w:t>
            </w:r>
          </w:p>
        </w:tc>
        <w:tc>
          <w:tcPr>
            <w:tcW w:type="dxa" w:w="2160"/>
            <w:shd w:fill="DCEEF8"/>
          </w:tcPr>
          <w:p>
            <w:r>
              <w:t>Validation</w:t>
            </w:r>
          </w:p>
        </w:tc>
      </w:tr>
      <w:tr>
        <w:tc>
          <w:tcPr>
            <w:tcW w:type="dxa" w:w="2160"/>
          </w:tcPr>
          <w:p>
            <w:r>
              <w:t>Plans hydrauliques</w:t>
            </w:r>
          </w:p>
        </w:tc>
        <w:tc>
          <w:tcPr>
            <w:tcW w:type="dxa" w:w="2160"/>
          </w:tcPr>
          <w:p>
            <w:r>
              <w:t>CVC-001</w:t>
            </w:r>
          </w:p>
        </w:tc>
        <w:tc>
          <w:tcPr>
            <w:tcW w:type="dxa" w:w="2160"/>
          </w:tcPr>
          <w:p>
            <w:r>
              <w:t>V5</w:t>
            </w:r>
          </w:p>
        </w:tc>
        <w:tc>
          <w:tcPr>
            <w:tcW w:type="dxa" w:w="2160"/>
          </w:tcPr>
          <w:p>
            <w:r>
              <w:t>✔</w:t>
            </w:r>
          </w:p>
        </w:tc>
      </w:tr>
      <w:tr>
        <w:tc>
          <w:tcPr>
            <w:tcW w:type="dxa" w:w="2160"/>
          </w:tcPr>
          <w:p>
            <w:r>
              <w:t>Plans gaines</w:t>
            </w:r>
          </w:p>
        </w:tc>
        <w:tc>
          <w:tcPr>
            <w:tcW w:type="dxa" w:w="2160"/>
          </w:tcPr>
          <w:p>
            <w:r>
              <w:t>CVC-002</w:t>
            </w:r>
          </w:p>
        </w:tc>
        <w:tc>
          <w:tcPr>
            <w:tcW w:type="dxa" w:w="2160"/>
          </w:tcPr>
          <w:p>
            <w:r>
              <w:t>V5</w:t>
            </w:r>
          </w:p>
        </w:tc>
        <w:tc>
          <w:tcPr>
            <w:tcW w:type="dxa" w:w="2160"/>
          </w:tcPr>
          <w:p>
            <w:r>
              <w:t>✔</w:t>
            </w:r>
          </w:p>
        </w:tc>
      </w:tr>
      <w:tr>
        <w:tc>
          <w:tcPr>
            <w:tcW w:type="dxa" w:w="2160"/>
          </w:tcPr>
          <w:p>
            <w:r>
              <w:t>Synoptique GTB</w:t>
            </w:r>
          </w:p>
        </w:tc>
        <w:tc>
          <w:tcPr>
            <w:tcW w:type="dxa" w:w="2160"/>
          </w:tcPr>
          <w:p>
            <w:r>
              <w:t>CVC-003</w:t>
            </w:r>
          </w:p>
        </w:tc>
        <w:tc>
          <w:tcPr>
            <w:tcW w:type="dxa" w:w="2160"/>
          </w:tcPr>
          <w:p>
            <w:r>
              <w:t>V3</w:t>
            </w:r>
          </w:p>
        </w:tc>
        <w:tc>
          <w:tcPr>
            <w:tcW w:type="dxa" w:w="2160"/>
          </w:tcPr>
          <w:p>
            <w:r>
              <w:t>✔</w:t>
            </w:r>
          </w:p>
        </w:tc>
      </w:tr>
      <w:tr>
        <w:tc>
          <w:tcPr>
            <w:tcW w:type="dxa" w:w="2160"/>
          </w:tcPr>
          <w:p>
            <w:r>
              <w:t>Désenfumage</w:t>
            </w:r>
          </w:p>
        </w:tc>
        <w:tc>
          <w:tcPr>
            <w:tcW w:type="dxa" w:w="2160"/>
          </w:tcPr>
          <w:p>
            <w:r>
              <w:t>CVC-004</w:t>
            </w:r>
          </w:p>
        </w:tc>
        <w:tc>
          <w:tcPr>
            <w:tcW w:type="dxa" w:w="2160"/>
          </w:tcPr>
          <w:p>
            <w:r>
              <w:t>V2</w:t>
            </w:r>
          </w:p>
        </w:tc>
        <w:tc>
          <w:tcPr>
            <w:tcW w:type="dxa" w:w="2160"/>
          </w:tcPr>
          <w:p>
            <w:r>
              <w:t>✔</w:t>
            </w:r>
          </w:p>
        </w:tc>
      </w:tr>
    </w:tbl>
    <w:p/>
    <w:p>
      <w:pPr>
        <w:pStyle w:val="Heading2"/>
      </w:pPr>
      <w:r>
        <w:rPr>
          <w:color w:val="00528C"/>
        </w:rPr>
        <w:t>Équilibrage hydraulique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CEEF8"/>
          </w:tcPr>
          <w:p>
            <w:r>
              <w:t>Circuit</w:t>
            </w:r>
          </w:p>
        </w:tc>
        <w:tc>
          <w:tcPr>
            <w:tcW w:type="dxa" w:w="2160"/>
            <w:shd w:fill="DCEEF8"/>
          </w:tcPr>
          <w:p>
            <w:r>
              <w:t>Débit prévu</w:t>
            </w:r>
          </w:p>
        </w:tc>
        <w:tc>
          <w:tcPr>
            <w:tcW w:type="dxa" w:w="2160"/>
            <w:shd w:fill="DCEEF8"/>
          </w:tcPr>
          <w:p>
            <w:r>
              <w:t>Débit mesuré</w:t>
            </w:r>
          </w:p>
        </w:tc>
        <w:tc>
          <w:tcPr>
            <w:tcW w:type="dxa" w:w="2160"/>
            <w:shd w:fill="DCEEF8"/>
          </w:tcPr>
          <w:p>
            <w:r>
              <w:t>Conforme</w:t>
            </w:r>
          </w:p>
        </w:tc>
      </w:tr>
      <w:tr>
        <w:tc>
          <w:tcPr>
            <w:tcW w:type="dxa" w:w="2160"/>
          </w:tcPr>
          <w:p>
            <w:r>
              <w:t>Boucle RDC</w:t>
            </w:r>
          </w:p>
        </w:tc>
        <w:tc>
          <w:tcPr>
            <w:tcW w:type="dxa" w:w="2160"/>
          </w:tcPr>
          <w:p>
            <w:r>
              <w:t>12 m³/h</w:t>
            </w:r>
          </w:p>
        </w:tc>
        <w:tc>
          <w:tcPr>
            <w:tcW w:type="dxa" w:w="2160"/>
          </w:tcPr>
          <w:p>
            <w:r>
              <w:t>11.9 m³/h</w:t>
            </w:r>
          </w:p>
        </w:tc>
        <w:tc>
          <w:tcPr>
            <w:tcW w:type="dxa" w:w="2160"/>
          </w:tcPr>
          <w:p>
            <w:r>
              <w:t>Oui</w:t>
            </w:r>
          </w:p>
        </w:tc>
      </w:tr>
      <w:tr>
        <w:tc>
          <w:tcPr>
            <w:tcW w:type="dxa" w:w="2160"/>
          </w:tcPr>
          <w:p>
            <w:r>
              <w:t>Boucle R+1</w:t>
            </w:r>
          </w:p>
        </w:tc>
        <w:tc>
          <w:tcPr>
            <w:tcW w:type="dxa" w:w="2160"/>
          </w:tcPr>
          <w:p>
            <w:r>
              <w:t>10</w:t>
            </w:r>
          </w:p>
        </w:tc>
        <w:tc>
          <w:tcPr>
            <w:tcW w:type="dxa" w:w="2160"/>
          </w:tcPr>
          <w:p>
            <w:r>
              <w:t>10.1</w:t>
            </w:r>
          </w:p>
        </w:tc>
        <w:tc>
          <w:tcPr>
            <w:tcW w:type="dxa" w:w="2160"/>
          </w:tcPr>
          <w:p>
            <w:r>
              <w:t>Oui</w:t>
            </w:r>
          </w:p>
        </w:tc>
      </w:tr>
      <w:tr>
        <w:tc>
          <w:tcPr>
            <w:tcW w:type="dxa" w:w="2160"/>
          </w:tcPr>
          <w:p>
            <w:r>
              <w:t>Boucle R+2</w:t>
            </w:r>
          </w:p>
        </w:tc>
        <w:tc>
          <w:tcPr>
            <w:tcW w:type="dxa" w:w="2160"/>
          </w:tcPr>
          <w:p>
            <w:r>
              <w:t>9</w:t>
            </w:r>
          </w:p>
        </w:tc>
        <w:tc>
          <w:tcPr>
            <w:tcW w:type="dxa" w:w="2160"/>
          </w:tcPr>
          <w:p>
            <w:r>
              <w:t>9.0</w:t>
            </w:r>
          </w:p>
        </w:tc>
        <w:tc>
          <w:tcPr>
            <w:tcW w:type="dxa" w:w="2160"/>
          </w:tcPr>
          <w:p>
            <w:r>
              <w:t>Oui</w:t>
            </w:r>
          </w:p>
        </w:tc>
      </w:tr>
    </w:tbl>
    <w:p/>
    <w:p>
      <w:pPr>
        <w:pStyle w:val="Heading2"/>
      </w:pPr>
      <w:r>
        <w:rPr>
          <w:color w:val="00528C"/>
        </w:rPr>
        <w:t>Équilibrage aéraulique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CEEF8"/>
          </w:tcPr>
          <w:p>
            <w:r>
              <w:t>Zone</w:t>
            </w:r>
          </w:p>
        </w:tc>
        <w:tc>
          <w:tcPr>
            <w:tcW w:type="dxa" w:w="2160"/>
            <w:shd w:fill="DCEEF8"/>
          </w:tcPr>
          <w:p>
            <w:r>
              <w:t>Débit prévu</w:t>
            </w:r>
          </w:p>
        </w:tc>
        <w:tc>
          <w:tcPr>
            <w:tcW w:type="dxa" w:w="2160"/>
            <w:shd w:fill="DCEEF8"/>
          </w:tcPr>
          <w:p>
            <w:r>
              <w:t>Débit mesuré</w:t>
            </w:r>
          </w:p>
        </w:tc>
        <w:tc>
          <w:tcPr>
            <w:tcW w:type="dxa" w:w="2160"/>
            <w:shd w:fill="DCEEF8"/>
          </w:tcPr>
          <w:p>
            <w:r>
              <w:t>Conforme</w:t>
            </w:r>
          </w:p>
        </w:tc>
      </w:tr>
      <w:tr>
        <w:tc>
          <w:tcPr>
            <w:tcW w:type="dxa" w:w="2160"/>
          </w:tcPr>
          <w:p>
            <w:r>
              <w:t>Accueil</w:t>
            </w:r>
          </w:p>
        </w:tc>
        <w:tc>
          <w:tcPr>
            <w:tcW w:type="dxa" w:w="2160"/>
          </w:tcPr>
          <w:p>
            <w:r>
              <w:t>3500</w:t>
            </w:r>
          </w:p>
        </w:tc>
        <w:tc>
          <w:tcPr>
            <w:tcW w:type="dxa" w:w="2160"/>
          </w:tcPr>
          <w:p>
            <w:r>
              <w:t>3490</w:t>
            </w:r>
          </w:p>
        </w:tc>
        <w:tc>
          <w:tcPr>
            <w:tcW w:type="dxa" w:w="2160"/>
          </w:tcPr>
          <w:p>
            <w:r>
              <w:t>Oui</w:t>
            </w:r>
          </w:p>
        </w:tc>
      </w:tr>
      <w:tr>
        <w:tc>
          <w:tcPr>
            <w:tcW w:type="dxa" w:w="2160"/>
          </w:tcPr>
          <w:p>
            <w:r>
              <w:t>Open space</w:t>
            </w:r>
          </w:p>
        </w:tc>
        <w:tc>
          <w:tcPr>
            <w:tcW w:type="dxa" w:w="2160"/>
          </w:tcPr>
          <w:p>
            <w:r>
              <w:t>6200</w:t>
            </w:r>
          </w:p>
        </w:tc>
        <w:tc>
          <w:tcPr>
            <w:tcW w:type="dxa" w:w="2160"/>
          </w:tcPr>
          <w:p>
            <w:r>
              <w:t>6185</w:t>
            </w:r>
          </w:p>
        </w:tc>
        <w:tc>
          <w:tcPr>
            <w:tcW w:type="dxa" w:w="2160"/>
          </w:tcPr>
          <w:p>
            <w:r>
              <w:t>Oui</w:t>
            </w:r>
          </w:p>
        </w:tc>
      </w:tr>
      <w:tr>
        <w:tc>
          <w:tcPr>
            <w:tcW w:type="dxa" w:w="2160"/>
          </w:tcPr>
          <w:p>
            <w:r>
              <w:t>Salle réunion</w:t>
            </w:r>
          </w:p>
        </w:tc>
        <w:tc>
          <w:tcPr>
            <w:tcW w:type="dxa" w:w="2160"/>
          </w:tcPr>
          <w:p>
            <w:r>
              <w:t>850</w:t>
            </w:r>
          </w:p>
        </w:tc>
        <w:tc>
          <w:tcPr>
            <w:tcW w:type="dxa" w:w="2160"/>
          </w:tcPr>
          <w:p>
            <w:r>
              <w:t>845</w:t>
            </w:r>
          </w:p>
        </w:tc>
        <w:tc>
          <w:tcPr>
            <w:tcW w:type="dxa" w:w="2160"/>
          </w:tcPr>
          <w:p>
            <w:r>
              <w:t>Oui</w:t>
            </w:r>
          </w:p>
        </w:tc>
      </w:tr>
    </w:tbl>
    <w:p/>
    <w:p>
      <w:pPr>
        <w:pStyle w:val="Heading2"/>
      </w:pPr>
      <w:r>
        <w:rPr>
          <w:color w:val="00528C"/>
        </w:rPr>
        <w:t>Essais fonctionnels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DCEEF8"/>
          </w:tcPr>
          <w:p>
            <w:r>
              <w:t>Essai</w:t>
            </w:r>
          </w:p>
        </w:tc>
        <w:tc>
          <w:tcPr>
            <w:tcW w:type="dxa" w:w="2880"/>
            <w:shd w:fill="DCEEF8"/>
          </w:tcPr>
          <w:p>
            <w:r>
              <w:t>Résultat</w:t>
            </w:r>
          </w:p>
        </w:tc>
        <w:tc>
          <w:tcPr>
            <w:tcW w:type="dxa" w:w="2880"/>
            <w:shd w:fill="DCEEF8"/>
          </w:tcPr>
          <w:p>
            <w:r>
              <w:t>Observations</w:t>
            </w:r>
          </w:p>
        </w:tc>
      </w:tr>
      <w:tr>
        <w:tc>
          <w:tcPr>
            <w:tcW w:type="dxa" w:w="2880"/>
          </w:tcPr>
          <w:p>
            <w:r>
              <w:t>PAC</w:t>
            </w:r>
          </w:p>
        </w:tc>
        <w:tc>
          <w:tcPr>
            <w:tcW w:type="dxa" w:w="2880"/>
          </w:tcPr>
          <w:p>
            <w:r>
              <w:t>Conforme</w:t>
            </w:r>
          </w:p>
        </w:tc>
        <w:tc>
          <w:tcPr>
            <w:tcW w:type="dxa" w:w="2880"/>
          </w:tcPr>
          <w:p>
            <w:r>
              <w:t>RAS</w:t>
            </w:r>
          </w:p>
        </w:tc>
      </w:tr>
      <w:tr>
        <w:tc>
          <w:tcPr>
            <w:tcW w:type="dxa" w:w="2880"/>
          </w:tcPr>
          <w:p>
            <w:r>
              <w:t>CTA</w:t>
            </w:r>
          </w:p>
        </w:tc>
        <w:tc>
          <w:tcPr>
            <w:tcW w:type="dxa" w:w="2880"/>
          </w:tcPr>
          <w:p>
            <w:r>
              <w:t>Conforme</w:t>
            </w:r>
          </w:p>
        </w:tc>
        <w:tc>
          <w:tcPr>
            <w:tcW w:type="dxa" w:w="2880"/>
          </w:tcPr>
          <w:p>
            <w:r>
              <w:t>RAS</w:t>
            </w:r>
          </w:p>
        </w:tc>
      </w:tr>
      <w:tr>
        <w:tc>
          <w:tcPr>
            <w:tcW w:type="dxa" w:w="2880"/>
          </w:tcPr>
          <w:p>
            <w:r>
              <w:t>GTB</w:t>
            </w:r>
          </w:p>
        </w:tc>
        <w:tc>
          <w:tcPr>
            <w:tcW w:type="dxa" w:w="2880"/>
          </w:tcPr>
          <w:p>
            <w:r>
              <w:t>Conforme</w:t>
            </w:r>
          </w:p>
        </w:tc>
        <w:tc>
          <w:tcPr>
            <w:tcW w:type="dxa" w:w="2880"/>
          </w:tcPr>
          <w:p>
            <w:r>
              <w:t>Communication OK</w:t>
            </w:r>
          </w:p>
        </w:tc>
      </w:tr>
      <w:tr>
        <w:tc>
          <w:tcPr>
            <w:tcW w:type="dxa" w:w="2880"/>
          </w:tcPr>
          <w:p>
            <w:r>
              <w:t>VMC</w:t>
            </w:r>
          </w:p>
        </w:tc>
        <w:tc>
          <w:tcPr>
            <w:tcW w:type="dxa" w:w="2880"/>
          </w:tcPr>
          <w:p>
            <w:r>
              <w:t>Conforme</w:t>
            </w:r>
          </w:p>
        </w:tc>
        <w:tc>
          <w:tcPr>
            <w:tcW w:type="dxa" w:w="2880"/>
          </w:tcPr>
          <w:p>
            <w:r>
              <w:t>Débits conformes</w:t>
            </w:r>
          </w:p>
        </w:tc>
      </w:tr>
      <w:tr>
        <w:tc>
          <w:tcPr>
            <w:tcW w:type="dxa" w:w="2880"/>
          </w:tcPr>
          <w:p>
            <w:r>
              <w:t>Désenfumage</w:t>
            </w:r>
          </w:p>
        </w:tc>
        <w:tc>
          <w:tcPr>
            <w:tcW w:type="dxa" w:w="2880"/>
          </w:tcPr>
          <w:p>
            <w:r>
              <w:t>Conforme</w:t>
            </w:r>
          </w:p>
        </w:tc>
        <w:tc>
          <w:tcPr>
            <w:tcW w:type="dxa" w:w="2880"/>
          </w:tcPr>
          <w:p>
            <w:r>
              <w:t>Essai validé</w:t>
            </w:r>
          </w:p>
        </w:tc>
      </w:tr>
    </w:tbl>
    <w:p/>
    <w:p>
      <w:pPr>
        <w:pStyle w:val="Heading2"/>
      </w:pPr>
      <w:r>
        <w:rPr>
          <w:color w:val="00528C"/>
        </w:rPr>
        <w:t>Planning de maintenance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DCEEF8"/>
          </w:tcPr>
          <w:p>
            <w:r>
              <w:t>Équipement</w:t>
            </w:r>
          </w:p>
        </w:tc>
        <w:tc>
          <w:tcPr>
            <w:tcW w:type="dxa" w:w="1728"/>
            <w:shd w:fill="DCEEF8"/>
          </w:tcPr>
          <w:p>
            <w:r>
              <w:t>Mensuel</w:t>
            </w:r>
          </w:p>
        </w:tc>
        <w:tc>
          <w:tcPr>
            <w:tcW w:type="dxa" w:w="1728"/>
            <w:shd w:fill="DCEEF8"/>
          </w:tcPr>
          <w:p>
            <w:r>
              <w:t>Trimestriel</w:t>
            </w:r>
          </w:p>
        </w:tc>
        <w:tc>
          <w:tcPr>
            <w:tcW w:type="dxa" w:w="1728"/>
            <w:shd w:fill="DCEEF8"/>
          </w:tcPr>
          <w:p>
            <w:r>
              <w:t>Semestriel</w:t>
            </w:r>
          </w:p>
        </w:tc>
        <w:tc>
          <w:tcPr>
            <w:tcW w:type="dxa" w:w="1728"/>
            <w:shd w:fill="DCEEF8"/>
          </w:tcPr>
          <w:p>
            <w:r>
              <w:t>Annuel</w:t>
            </w:r>
          </w:p>
        </w:tc>
      </w:tr>
      <w:tr>
        <w:tc>
          <w:tcPr>
            <w:tcW w:type="dxa" w:w="1728"/>
          </w:tcPr>
          <w:p>
            <w:r>
              <w:t>Filtres</w:t>
            </w:r>
          </w:p>
        </w:tc>
        <w:tc>
          <w:tcPr>
            <w:tcW w:type="dxa" w:w="1728"/>
          </w:tcPr>
          <w:p>
            <w:r>
              <w:t>✔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CTA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✔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PAC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✔</w:t>
            </w:r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Groupes froids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✔</w:t>
            </w:r>
          </w:p>
        </w:tc>
      </w:tr>
      <w:tr>
        <w:tc>
          <w:tcPr>
            <w:tcW w:type="dxa" w:w="1728"/>
          </w:tcPr>
          <w:p>
            <w:r>
              <w:t>GTB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>
              <w:t>✔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pPr>
        <w:pStyle w:val="Heading2"/>
      </w:pPr>
      <w:r>
        <w:rPr>
          <w:color w:val="00528C"/>
        </w:rPr>
        <w:t>Check-list finale (extrait)</w:t>
      </w:r>
    </w:p>
    <w:p>
      <w:pPr>
        <w:pStyle w:val="ListBullet"/>
      </w:pPr>
      <w:r>
        <w:t>☐ Plans DOE validés</w:t>
      </w:r>
    </w:p>
    <w:p>
      <w:pPr>
        <w:pStyle w:val="ListBullet"/>
      </w:pPr>
      <w:r>
        <w:t>☐ Notices techniques classées</w:t>
      </w:r>
    </w:p>
    <w:p>
      <w:pPr>
        <w:pStyle w:val="ListBullet"/>
      </w:pPr>
      <w:r>
        <w:t>☐ Rapports d'équilibrage joints</w:t>
      </w:r>
    </w:p>
    <w:p>
      <w:pPr>
        <w:pStyle w:val="ListBullet"/>
      </w:pPr>
      <w:r>
        <w:t>☐ Paramètres GTB sauvegardés</w:t>
      </w:r>
    </w:p>
    <w:p>
      <w:pPr>
        <w:pStyle w:val="ListBullet"/>
      </w:pPr>
      <w:r>
        <w:t>☐ PV de mise en service archivés</w:t>
      </w:r>
    </w:p>
    <w:p>
      <w:pPr>
        <w:pStyle w:val="ListBullet"/>
      </w:pPr>
      <w:r>
        <w:t>☐ Garanties fabricants annexées</w:t>
      </w:r>
    </w:p>
    <w:p>
      <w:pPr>
        <w:pStyle w:val="ListBullet"/>
      </w:pPr>
      <w:r>
        <w:t>☐ Album photographique intégré</w:t>
      </w:r>
    </w:p>
    <w:p>
      <w:pPr>
        <w:pStyle w:val="ListBullet"/>
      </w:pPr>
      <w:r>
        <w:t>☐ Fichiers PDF, DWG et IFC livrés</w:t>
      </w:r>
    </w:p>
    <w:p>
      <w:pPr>
        <w:pStyle w:val="ListBullet"/>
      </w:pPr>
      <w:r>
        <w:t>☐ Carnet de maintenance remis</w:t>
      </w:r>
    </w:p>
    <w:p>
      <w:pPr>
        <w:pStyle w:val="ListBullet"/>
      </w:pPr>
      <w:r>
        <w:t>☐ DOE signé par l'entreprise, la MOE et la MOA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