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Gestion des Conflits par la Méthode Thomas-Kilmann</w:t>
      </w:r>
    </w:p>
    <w:p>
      <w:r>
        <w:rPr>
          <w:b w:val="0"/>
        </w:rPr>
        <w:t>Guide pratique destiné aux managers, chefs de projet, responsables RH et équipes professionnelles souhaitant mieux comprendre les mécanismes relationnels et adopter des stratégies adaptées face aux situations conflictuelles.</w:t>
      </w:r>
    </w:p>
    <w:p>
      <w:pPr>
        <w:pStyle w:val="Heading2"/>
      </w:pPr>
      <w:r>
        <w:t>Comprendre la méthode Thomas-Kilmann</w:t>
      </w:r>
    </w:p>
    <w:p>
      <w:r>
        <w:t>La méthode Thomas-Kilmann analyse les réactions humaines face aux tensions professionnelles à travers deux dimensions : l’affirmation de soi et la coopération. Elle permet d’identifier cinq styles principaux de gestion des conflits.</w:t>
      </w:r>
    </w:p>
    <w:p>
      <w:pPr>
        <w:pStyle w:val="Heading2"/>
      </w:pPr>
      <w:r>
        <w:t>Les 5 styles de gestion des conflits</w:t>
      </w:r>
    </w:p>
    <w:p>
      <w:r>
        <w:t>• Compétition : défendre fortement sa position.</w:t>
        <w:br/>
        <w:t>• Évitement : contourner ou repousser le conflit.</w:t>
        <w:br/>
        <w:t>• Accommodement : préserver la relation humaine.</w:t>
        <w:br/>
        <w:t>• Compromis : rechercher un équilibre acceptable.</w:t>
        <w:br/>
        <w:t>• Collaboration : construire une solution commune durable.</w:t>
      </w:r>
    </w:p>
    <w:p>
      <w:pPr>
        <w:pStyle w:val="Heading2"/>
      </w:pPr>
      <w:r>
        <w:t>Applications en entreprise</w:t>
      </w:r>
    </w:p>
    <w:p>
      <w:r>
        <w:t>La méthode aide à gérer les désaccords liés aux délais, aux responsabilités, aux priorités contradictoires, aux tensions hiérarchiques ou aux conflits entre services.</w:t>
      </w:r>
    </w:p>
    <w:p>
      <w:pPr>
        <w:pStyle w:val="Heading2"/>
      </w:pPr>
      <w:r>
        <w:t>Conseils pratiques</w:t>
      </w:r>
    </w:p>
    <w:p>
      <w:r>
        <w:t>• Écouter avant de répondre.</w:t>
        <w:br/>
        <w:t>• Clarifier les faits et éviter les jugements.</w:t>
        <w:br/>
        <w:t>• Rechercher les besoins réels derrière les tensions.</w:t>
        <w:br/>
        <w:t>• Adapter le style de gestion au contexte.</w:t>
        <w:br/>
        <w:t>• Formaliser les décisions importantes.</w:t>
      </w:r>
    </w:p>
    <w:p>
      <w:pPr>
        <w:pStyle w:val="Heading2"/>
      </w:pPr>
      <w:r>
        <w:t>Exemple concret</w:t>
      </w:r>
    </w:p>
    <w:p>
      <w:r>
        <w:t>Une équipe technique refuse une livraison jugée trop rapide par le service commercial. Le manager peut choisir la compétition, le compromis ou la collaboration selon les enjeux de qualité, de délai et de satisfaction client.</w:t>
      </w:r>
    </w:p>
    <w:p>
      <w:pPr>
        <w:pStyle w:val="Heading2"/>
      </w:pPr>
      <w:r>
        <w:t>Tableau récapitulatif des styles Thomas-Kilmann</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rPr>
                <w:b/>
              </w:rPr>
              <w:t>Style</w:t>
            </w:r>
          </w:p>
        </w:tc>
        <w:tc>
          <w:tcPr>
            <w:tcW w:type="dxa" w:w="2160"/>
          </w:tcPr>
          <w:p>
            <w:r>
              <w:rPr>
                <w:b/>
              </w:rPr>
              <w:t>Objectif principal</w:t>
            </w:r>
          </w:p>
        </w:tc>
        <w:tc>
          <w:tcPr>
            <w:tcW w:type="dxa" w:w="2160"/>
          </w:tcPr>
          <w:p>
            <w:r>
              <w:rPr>
                <w:b/>
              </w:rPr>
              <w:t>Point fort</w:t>
            </w:r>
          </w:p>
        </w:tc>
        <w:tc>
          <w:tcPr>
            <w:tcW w:type="dxa" w:w="2160"/>
          </w:tcPr>
          <w:p>
            <w:r>
              <w:rPr>
                <w:b/>
              </w:rPr>
              <w:t>Risque possible</w:t>
            </w:r>
          </w:p>
        </w:tc>
      </w:tr>
      <w:tr>
        <w:tc>
          <w:tcPr>
            <w:tcW w:type="dxa" w:w="2160"/>
          </w:tcPr>
          <w:p>
            <w:r>
              <w:t>Compétition</w:t>
            </w:r>
          </w:p>
        </w:tc>
        <w:tc>
          <w:tcPr>
            <w:tcW w:type="dxa" w:w="2160"/>
          </w:tcPr>
          <w:p>
            <w:r>
              <w:t>Imposer une décision</w:t>
            </w:r>
          </w:p>
        </w:tc>
        <w:tc>
          <w:tcPr>
            <w:tcW w:type="dxa" w:w="2160"/>
          </w:tcPr>
          <w:p>
            <w:r>
              <w:t>Rapidité</w:t>
            </w:r>
          </w:p>
        </w:tc>
        <w:tc>
          <w:tcPr>
            <w:tcW w:type="dxa" w:w="2160"/>
          </w:tcPr>
          <w:p>
            <w:r>
              <w:t>Tensions durables</w:t>
            </w:r>
          </w:p>
        </w:tc>
      </w:tr>
      <w:tr>
        <w:tc>
          <w:tcPr>
            <w:tcW w:type="dxa" w:w="2160"/>
          </w:tcPr>
          <w:p>
            <w:r>
              <w:t>Évitement</w:t>
            </w:r>
          </w:p>
        </w:tc>
        <w:tc>
          <w:tcPr>
            <w:tcW w:type="dxa" w:w="2160"/>
          </w:tcPr>
          <w:p>
            <w:r>
              <w:t>Fuir la confrontation</w:t>
            </w:r>
          </w:p>
        </w:tc>
        <w:tc>
          <w:tcPr>
            <w:tcW w:type="dxa" w:w="2160"/>
          </w:tcPr>
          <w:p>
            <w:r>
              <w:t>Apaisement immédiat</w:t>
            </w:r>
          </w:p>
        </w:tc>
        <w:tc>
          <w:tcPr>
            <w:tcW w:type="dxa" w:w="2160"/>
          </w:tcPr>
          <w:p>
            <w:r>
              <w:t>Problème non résolu</w:t>
            </w:r>
          </w:p>
        </w:tc>
      </w:tr>
      <w:tr>
        <w:tc>
          <w:tcPr>
            <w:tcW w:type="dxa" w:w="2160"/>
          </w:tcPr>
          <w:p>
            <w:r>
              <w:t>Accommodement</w:t>
            </w:r>
          </w:p>
        </w:tc>
        <w:tc>
          <w:tcPr>
            <w:tcW w:type="dxa" w:w="2160"/>
          </w:tcPr>
          <w:p>
            <w:r>
              <w:t>Préserver la relation</w:t>
            </w:r>
          </w:p>
        </w:tc>
        <w:tc>
          <w:tcPr>
            <w:tcW w:type="dxa" w:w="2160"/>
          </w:tcPr>
          <w:p>
            <w:r>
              <w:t>Climat serein</w:t>
            </w:r>
          </w:p>
        </w:tc>
        <w:tc>
          <w:tcPr>
            <w:tcW w:type="dxa" w:w="2160"/>
          </w:tcPr>
          <w:p>
            <w:r>
              <w:t>Frustration personnelle</w:t>
            </w:r>
          </w:p>
        </w:tc>
      </w:tr>
      <w:tr>
        <w:tc>
          <w:tcPr>
            <w:tcW w:type="dxa" w:w="2160"/>
          </w:tcPr>
          <w:p>
            <w:r>
              <w:t>Compromis</w:t>
            </w:r>
          </w:p>
        </w:tc>
        <w:tc>
          <w:tcPr>
            <w:tcW w:type="dxa" w:w="2160"/>
          </w:tcPr>
          <w:p>
            <w:r>
              <w:t>Trouver un équilibre</w:t>
            </w:r>
          </w:p>
        </w:tc>
        <w:tc>
          <w:tcPr>
            <w:tcW w:type="dxa" w:w="2160"/>
          </w:tcPr>
          <w:p>
            <w:r>
              <w:t>Pragmatisme</w:t>
            </w:r>
          </w:p>
        </w:tc>
        <w:tc>
          <w:tcPr>
            <w:tcW w:type="dxa" w:w="2160"/>
          </w:tcPr>
          <w:p>
            <w:r>
              <w:t>Solution partielle</w:t>
            </w:r>
          </w:p>
        </w:tc>
      </w:tr>
      <w:tr>
        <w:tc>
          <w:tcPr>
            <w:tcW w:type="dxa" w:w="2160"/>
          </w:tcPr>
          <w:p>
            <w:r>
              <w:t>Collaboration</w:t>
            </w:r>
          </w:p>
        </w:tc>
        <w:tc>
          <w:tcPr>
            <w:tcW w:type="dxa" w:w="2160"/>
          </w:tcPr>
          <w:p>
            <w:r>
              <w:t>Construire ensemble</w:t>
            </w:r>
          </w:p>
        </w:tc>
        <w:tc>
          <w:tcPr>
            <w:tcW w:type="dxa" w:w="2160"/>
          </w:tcPr>
          <w:p>
            <w:r>
              <w:t>Résolution durable</w:t>
            </w:r>
          </w:p>
        </w:tc>
        <w:tc>
          <w:tcPr>
            <w:tcW w:type="dxa" w:w="2160"/>
          </w:tcPr>
          <w:p>
            <w:r>
              <w:t>Temps nécessaire</w:t>
            </w:r>
          </w:p>
        </w:tc>
      </w:tr>
    </w:tbl>
    <w:p>
      <w:pPr>
        <w:pStyle w:val="Heading2"/>
      </w:pPr>
      <w:r>
        <w:t>Synthèse</w:t>
      </w:r>
    </w:p>
    <w:p>
      <w:r>
        <w:t>La méthode Thomas-Kilmann rappelle qu’aucune posture ne constitue une solution universelle. La qualité de la gestion des conflits dépend avant tout de la capacité à comprendre le contexte humain, les enjeux relationnels et les objectifs collectifs.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