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Arial" w:hAnsi="Arial"/>
          <w:b/>
          <w:color w:val="00468C"/>
          <w:sz w:val="44"/>
        </w:rPr>
        <w:t>Guide Professionnel des Cas et Exemples en Identification Bactérienne</w:t>
      </w:r>
    </w:p>
    <w:p>
      <w:r>
        <w:rPr>
          <w:rFonts w:ascii="Arial" w:hAnsi="Arial"/>
          <w:b/>
          <w:sz w:val="22"/>
        </w:rPr>
        <w:t>Ce document approfondi regroupe plusieurs cas pratiques rencontrés dans les laboratoires pharmaceutiques, hospitaliers, agroalimentaires et environnementaux. Il présente les méthodes d’identification bactérienne, les observations fréquentes, les interprétations microbiologiques ainsi que les mesures correctives appliquées au laboratoire.</w:t>
      </w:r>
    </w:p>
    <w:p>
      <w:pPr>
        <w:pStyle w:val="Heading2"/>
      </w:pPr>
      <w:r>
        <w:rPr>
          <w:rFonts w:ascii="Arial" w:hAnsi="Arial"/>
          <w:sz w:val="22"/>
        </w:rPr>
        <w:t>Vue globale des principaux cas microbiologiques</w:t>
      </w:r>
    </w:p>
    <w:tbl>
      <w:tblPr>
        <w:tblStyle w:val="TableGrid"/>
        <w:tblW w:type="auto" w:w="0"/>
        <w:tblLook w:firstColumn="1" w:firstRow="1" w:lastColumn="0" w:lastRow="0" w:noHBand="0" w:noVBand="1" w:val="04A0"/>
      </w:tblPr>
      <w:tblGrid>
        <w:gridCol w:w="1949"/>
        <w:gridCol w:w="1949"/>
        <w:gridCol w:w="1949"/>
        <w:gridCol w:w="1949"/>
        <w:gridCol w:w="1949"/>
      </w:tblGrid>
      <w:tr>
        <w:tc>
          <w:tcPr>
            <w:tcW w:type="dxa" w:w="1949"/>
            <w:shd w:fill="1F4E78"/>
          </w:tcPr>
          <w:p>
            <w:r>
              <w:rPr>
                <w:b/>
                <w:color w:val="FFFFFF"/>
              </w:rPr>
              <w:t>Cas</w:t>
            </w:r>
          </w:p>
        </w:tc>
        <w:tc>
          <w:tcPr>
            <w:tcW w:type="dxa" w:w="1949"/>
            <w:shd w:fill="1F4E78"/>
          </w:tcPr>
          <w:p>
            <w:r>
              <w:rPr>
                <w:b/>
                <w:color w:val="FFFFFF"/>
              </w:rPr>
              <w:t>Observation</w:t>
            </w:r>
          </w:p>
        </w:tc>
        <w:tc>
          <w:tcPr>
            <w:tcW w:type="dxa" w:w="1949"/>
            <w:shd w:fill="1F4E78"/>
          </w:tcPr>
          <w:p>
            <w:r>
              <w:rPr>
                <w:b/>
                <w:color w:val="FFFFFF"/>
              </w:rPr>
              <w:t>Gram</w:t>
            </w:r>
          </w:p>
        </w:tc>
        <w:tc>
          <w:tcPr>
            <w:tcW w:type="dxa" w:w="1949"/>
            <w:shd w:fill="1F4E78"/>
          </w:tcPr>
          <w:p>
            <w:r>
              <w:rPr>
                <w:b/>
                <w:color w:val="FFFFFF"/>
              </w:rPr>
              <w:t>Hypothèse</w:t>
            </w:r>
          </w:p>
        </w:tc>
        <w:tc>
          <w:tcPr>
            <w:tcW w:type="dxa" w:w="1949"/>
            <w:shd w:fill="1F4E78"/>
          </w:tcPr>
          <w:p>
            <w:r>
              <w:rPr>
                <w:b/>
                <w:color w:val="FFFFFF"/>
              </w:rPr>
              <w:t>Action laboratoire</w:t>
            </w:r>
          </w:p>
        </w:tc>
      </w:tr>
      <w:tr>
        <w:tc>
          <w:tcPr>
            <w:tcW w:type="dxa" w:w="1949"/>
          </w:tcPr>
          <w:p>
            <w:r>
              <w:t>Colonies jaunes</w:t>
            </w:r>
          </w:p>
        </w:tc>
        <w:tc>
          <w:tcPr>
            <w:tcW w:type="dxa" w:w="1949"/>
          </w:tcPr>
          <w:p>
            <w:r>
              <w:t>Cocci</w:t>
            </w:r>
          </w:p>
        </w:tc>
        <w:tc>
          <w:tcPr>
            <w:tcW w:type="dxa" w:w="1949"/>
          </w:tcPr>
          <w:p>
            <w:r>
              <w:t>Gram +</w:t>
            </w:r>
          </w:p>
        </w:tc>
        <w:tc>
          <w:tcPr>
            <w:tcW w:type="dxa" w:w="1949"/>
          </w:tcPr>
          <w:p>
            <w:r>
              <w:t>Staphylococcus aureus</w:t>
            </w:r>
          </w:p>
        </w:tc>
        <w:tc>
          <w:tcPr>
            <w:tcW w:type="dxa" w:w="1949"/>
          </w:tcPr>
          <w:p>
            <w:r>
              <w:t>Test coagulase</w:t>
            </w:r>
          </w:p>
        </w:tc>
      </w:tr>
      <w:tr>
        <w:tc>
          <w:tcPr>
            <w:tcW w:type="dxa" w:w="1949"/>
          </w:tcPr>
          <w:p>
            <w:r>
              <w:t>Colonies roses</w:t>
            </w:r>
          </w:p>
        </w:tc>
        <w:tc>
          <w:tcPr>
            <w:tcW w:type="dxa" w:w="1949"/>
          </w:tcPr>
          <w:p>
            <w:r>
              <w:t>Bacille</w:t>
            </w:r>
          </w:p>
        </w:tc>
        <w:tc>
          <w:tcPr>
            <w:tcW w:type="dxa" w:w="1949"/>
          </w:tcPr>
          <w:p>
            <w:r>
              <w:t>Gram -</w:t>
            </w:r>
          </w:p>
        </w:tc>
        <w:tc>
          <w:tcPr>
            <w:tcW w:type="dxa" w:w="1949"/>
          </w:tcPr>
          <w:p>
            <w:r>
              <w:t>Escherichia coli</w:t>
            </w:r>
          </w:p>
        </w:tc>
        <w:tc>
          <w:tcPr>
            <w:tcW w:type="dxa" w:w="1949"/>
          </w:tcPr>
          <w:p>
            <w:r>
              <w:t>Contrôle eau</w:t>
            </w:r>
          </w:p>
        </w:tc>
      </w:tr>
      <w:tr>
        <w:tc>
          <w:tcPr>
            <w:tcW w:type="dxa" w:w="1949"/>
          </w:tcPr>
          <w:p>
            <w:r>
              <w:t>Colonies incolores</w:t>
            </w:r>
          </w:p>
        </w:tc>
        <w:tc>
          <w:tcPr>
            <w:tcW w:type="dxa" w:w="1949"/>
          </w:tcPr>
          <w:p>
            <w:r>
              <w:t>Bacille</w:t>
            </w:r>
          </w:p>
        </w:tc>
        <w:tc>
          <w:tcPr>
            <w:tcW w:type="dxa" w:w="1949"/>
          </w:tcPr>
          <w:p>
            <w:r>
              <w:t>Gram -</w:t>
            </w:r>
          </w:p>
        </w:tc>
        <w:tc>
          <w:tcPr>
            <w:tcW w:type="dxa" w:w="1949"/>
          </w:tcPr>
          <w:p>
            <w:r>
              <w:t>Salmonella</w:t>
            </w:r>
          </w:p>
        </w:tc>
        <w:tc>
          <w:tcPr>
            <w:tcW w:type="dxa" w:w="1949"/>
          </w:tcPr>
          <w:p>
            <w:r>
              <w:t>Isolement lot</w:t>
            </w:r>
          </w:p>
        </w:tc>
      </w:tr>
      <w:tr>
        <w:tc>
          <w:tcPr>
            <w:tcW w:type="dxa" w:w="1949"/>
          </w:tcPr>
          <w:p>
            <w:r>
              <w:t>Colonies muqueuses</w:t>
            </w:r>
          </w:p>
        </w:tc>
        <w:tc>
          <w:tcPr>
            <w:tcW w:type="dxa" w:w="1949"/>
          </w:tcPr>
          <w:p>
            <w:r>
              <w:t>Bacille</w:t>
            </w:r>
          </w:p>
        </w:tc>
        <w:tc>
          <w:tcPr>
            <w:tcW w:type="dxa" w:w="1949"/>
          </w:tcPr>
          <w:p>
            <w:r>
              <w:t>Gram -</w:t>
            </w:r>
          </w:p>
        </w:tc>
        <w:tc>
          <w:tcPr>
            <w:tcW w:type="dxa" w:w="1949"/>
          </w:tcPr>
          <w:p>
            <w:r>
              <w:t>Klebsiella</w:t>
            </w:r>
          </w:p>
        </w:tc>
        <w:tc>
          <w:tcPr>
            <w:tcW w:type="dxa" w:w="1949"/>
          </w:tcPr>
          <w:p>
            <w:r>
              <w:t>Analyse complémentaire</w:t>
            </w:r>
          </w:p>
        </w:tc>
      </w:tr>
      <w:tr>
        <w:tc>
          <w:tcPr>
            <w:tcW w:type="dxa" w:w="1949"/>
          </w:tcPr>
          <w:p>
            <w:r>
              <w:t>Odeur caractéristique</w:t>
            </w:r>
          </w:p>
        </w:tc>
        <w:tc>
          <w:tcPr>
            <w:tcW w:type="dxa" w:w="1949"/>
          </w:tcPr>
          <w:p>
            <w:r>
              <w:t>Bacille</w:t>
            </w:r>
          </w:p>
        </w:tc>
        <w:tc>
          <w:tcPr>
            <w:tcW w:type="dxa" w:w="1949"/>
          </w:tcPr>
          <w:p>
            <w:r>
              <w:t>Gram -</w:t>
            </w:r>
          </w:p>
        </w:tc>
        <w:tc>
          <w:tcPr>
            <w:tcW w:type="dxa" w:w="1949"/>
          </w:tcPr>
          <w:p>
            <w:r>
              <w:t>Pseudomonas</w:t>
            </w:r>
          </w:p>
        </w:tc>
        <w:tc>
          <w:tcPr>
            <w:tcW w:type="dxa" w:w="1949"/>
          </w:tcPr>
          <w:p>
            <w:r>
              <w:t>Contrôle environnement</w:t>
            </w:r>
          </w:p>
        </w:tc>
      </w:tr>
    </w:tbl>
    <w:p>
      <w:pPr>
        <w:pStyle w:val="Heading2"/>
      </w:pPr>
      <w:r>
        <w:rPr>
          <w:rFonts w:ascii="Arial" w:hAnsi="Arial"/>
          <w:color w:val="00468C"/>
          <w:sz w:val="22"/>
        </w:rPr>
        <w:t>Cas 1 : Identification de Staphylococcus aureus</w:t>
      </w:r>
    </w:p>
    <w:p>
      <w:pPr>
        <w:pStyle w:val="BodyText"/>
      </w:pPr>
      <w:r>
        <w:rPr>
          <w:rFonts w:ascii="Arial" w:hAnsi="Arial"/>
          <w:sz w:val="22"/>
        </w:rPr>
        <w:t>Les colonies jaunes observées sur gélose associées à des cocci Gram positif orientent souvent le microbiologiste vers Staphylococcus aureus.</w:t>
      </w:r>
    </w:p>
    <w:tbl>
      <w:tblPr>
        <w:tblStyle w:val="TableGrid"/>
        <w:tblW w:type="auto" w:w="0"/>
        <w:tblLook w:firstColumn="1" w:firstRow="1" w:lastColumn="0" w:lastRow="0" w:noHBand="0" w:noVBand="1" w:val="04A0"/>
      </w:tblPr>
      <w:tblGrid>
        <w:gridCol w:w="4873"/>
        <w:gridCol w:w="4873"/>
      </w:tblGrid>
      <w:tr>
        <w:tc>
          <w:tcPr>
            <w:tcW w:type="dxa" w:w="4873"/>
            <w:shd w:fill="0B6E4F"/>
          </w:tcPr>
          <w:p>
            <w:r>
              <w:rPr>
                <w:b/>
                <w:color w:val="FFFFFF"/>
              </w:rPr>
              <w:t>Élément</w:t>
            </w:r>
          </w:p>
        </w:tc>
        <w:tc>
          <w:tcPr>
            <w:tcW w:type="dxa" w:w="4873"/>
            <w:shd w:fill="0B6E4F"/>
          </w:tcPr>
          <w:p>
            <w:r>
              <w:rPr>
                <w:b/>
                <w:color w:val="FFFFFF"/>
              </w:rPr>
              <w:t>Description</w:t>
            </w:r>
          </w:p>
        </w:tc>
      </w:tr>
      <w:tr>
        <w:tc>
          <w:tcPr>
            <w:tcW w:type="dxa" w:w="4873"/>
          </w:tcPr>
          <w:p>
            <w:r>
              <w:t>Observation</w:t>
            </w:r>
          </w:p>
        </w:tc>
        <w:tc>
          <w:tcPr>
            <w:tcW w:type="dxa" w:w="4873"/>
          </w:tcPr>
          <w:p>
            <w:r>
              <w:t>Colonies jaunes et rondes.</w:t>
            </w:r>
          </w:p>
        </w:tc>
      </w:tr>
      <w:tr>
        <w:tc>
          <w:tcPr>
            <w:tcW w:type="dxa" w:w="4873"/>
          </w:tcPr>
          <w:p>
            <w:r>
              <w:t>Coloration Gram</w:t>
            </w:r>
          </w:p>
        </w:tc>
        <w:tc>
          <w:tcPr>
            <w:tcW w:type="dxa" w:w="4873"/>
          </w:tcPr>
          <w:p>
            <w:r>
              <w:t>Cocci Gram positif regroupés.</w:t>
            </w:r>
          </w:p>
        </w:tc>
      </w:tr>
      <w:tr>
        <w:tc>
          <w:tcPr>
            <w:tcW w:type="dxa" w:w="4873"/>
          </w:tcPr>
          <w:p>
            <w:r>
              <w:t>Tests biochimiques</w:t>
            </w:r>
          </w:p>
        </w:tc>
        <w:tc>
          <w:tcPr>
            <w:tcW w:type="dxa" w:w="4873"/>
          </w:tcPr>
          <w:p>
            <w:r>
              <w:t>Catalase positive et coagulase positive.</w:t>
            </w:r>
          </w:p>
        </w:tc>
      </w:tr>
      <w:tr>
        <w:tc>
          <w:tcPr>
            <w:tcW w:type="dxa" w:w="4873"/>
          </w:tcPr>
          <w:p>
            <w:r>
              <w:t>Interprétation</w:t>
            </w:r>
          </w:p>
        </w:tc>
        <w:tc>
          <w:tcPr>
            <w:tcW w:type="dxa" w:w="4873"/>
          </w:tcPr>
          <w:p>
            <w:r>
              <w:t>Suspicion forte de Staphylococcus aureus.</w:t>
            </w:r>
          </w:p>
        </w:tc>
      </w:tr>
      <w:tr>
        <w:tc>
          <w:tcPr>
            <w:tcW w:type="dxa" w:w="4873"/>
          </w:tcPr>
          <w:p>
            <w:r>
              <w:t>Mesures</w:t>
            </w:r>
          </w:p>
        </w:tc>
        <w:tc>
          <w:tcPr>
            <w:tcW w:type="dxa" w:w="4873"/>
          </w:tcPr>
          <w:p>
            <w:r>
              <w:t>Validation et enquête qualité.</w:t>
            </w:r>
          </w:p>
        </w:tc>
      </w:tr>
    </w:tbl>
    <w:p/>
    <w:p>
      <w:pPr>
        <w:pStyle w:val="Heading2"/>
      </w:pPr>
      <w:r>
        <w:rPr>
          <w:rFonts w:ascii="Arial" w:hAnsi="Arial"/>
          <w:color w:val="00468C"/>
          <w:sz w:val="22"/>
        </w:rPr>
        <w:t>Cas 2 : Recherche d’Escherichia coli</w:t>
      </w:r>
    </w:p>
    <w:p>
      <w:pPr>
        <w:pStyle w:val="BodyText"/>
      </w:pPr>
      <w:r>
        <w:rPr>
          <w:rFonts w:ascii="Arial" w:hAnsi="Arial"/>
          <w:sz w:val="22"/>
        </w:rPr>
        <w:t>Escherichia coli apparaît fréquemment dans les analyses d’eau et les contrôles alimentaires.</w:t>
      </w:r>
    </w:p>
    <w:tbl>
      <w:tblPr>
        <w:tblStyle w:val="TableGrid"/>
        <w:tblW w:type="auto" w:w="0"/>
        <w:tblLook w:firstColumn="1" w:firstRow="1" w:lastColumn="0" w:lastRow="0" w:noHBand="0" w:noVBand="1" w:val="04A0"/>
      </w:tblPr>
      <w:tblGrid>
        <w:gridCol w:w="4873"/>
        <w:gridCol w:w="4873"/>
      </w:tblGrid>
      <w:tr>
        <w:tc>
          <w:tcPr>
            <w:tcW w:type="dxa" w:w="4873"/>
            <w:shd w:fill="8A4FFF"/>
          </w:tcPr>
          <w:p>
            <w:r>
              <w:rPr>
                <w:b/>
                <w:color w:val="FFFFFF"/>
              </w:rPr>
              <w:t>Élément</w:t>
            </w:r>
          </w:p>
        </w:tc>
        <w:tc>
          <w:tcPr>
            <w:tcW w:type="dxa" w:w="4873"/>
            <w:shd w:fill="8A4FFF"/>
          </w:tcPr>
          <w:p>
            <w:r>
              <w:rPr>
                <w:b/>
                <w:color w:val="FFFFFF"/>
              </w:rPr>
              <w:t>Description</w:t>
            </w:r>
          </w:p>
        </w:tc>
      </w:tr>
      <w:tr>
        <w:tc>
          <w:tcPr>
            <w:tcW w:type="dxa" w:w="4873"/>
          </w:tcPr>
          <w:p>
            <w:r>
              <w:t>Observation</w:t>
            </w:r>
          </w:p>
        </w:tc>
        <w:tc>
          <w:tcPr>
            <w:tcW w:type="dxa" w:w="4873"/>
          </w:tcPr>
          <w:p>
            <w:r>
              <w:t>Colonies roses sur milieu EMB.</w:t>
            </w:r>
          </w:p>
        </w:tc>
      </w:tr>
      <w:tr>
        <w:tc>
          <w:tcPr>
            <w:tcW w:type="dxa" w:w="4873"/>
          </w:tcPr>
          <w:p>
            <w:r>
              <w:t>Gram</w:t>
            </w:r>
          </w:p>
        </w:tc>
        <w:tc>
          <w:tcPr>
            <w:tcW w:type="dxa" w:w="4873"/>
          </w:tcPr>
          <w:p>
            <w:r>
              <w:t>Bacille Gram négatif.</w:t>
            </w:r>
          </w:p>
        </w:tc>
      </w:tr>
      <w:tr>
        <w:tc>
          <w:tcPr>
            <w:tcW w:type="dxa" w:w="4873"/>
          </w:tcPr>
          <w:p>
            <w:r>
              <w:t>Fermentation</w:t>
            </w:r>
          </w:p>
        </w:tc>
        <w:tc>
          <w:tcPr>
            <w:tcW w:type="dxa" w:w="4873"/>
          </w:tcPr>
          <w:p>
            <w:r>
              <w:t>Fermentation lactose positive.</w:t>
            </w:r>
          </w:p>
        </w:tc>
      </w:tr>
      <w:tr>
        <w:tc>
          <w:tcPr>
            <w:tcW w:type="dxa" w:w="4873"/>
          </w:tcPr>
          <w:p>
            <w:r>
              <w:t>Interprétation</w:t>
            </w:r>
          </w:p>
        </w:tc>
        <w:tc>
          <w:tcPr>
            <w:tcW w:type="dxa" w:w="4873"/>
          </w:tcPr>
          <w:p>
            <w:r>
              <w:t>Présence possible de E. coli.</w:t>
            </w:r>
          </w:p>
        </w:tc>
      </w:tr>
      <w:tr>
        <w:tc>
          <w:tcPr>
            <w:tcW w:type="dxa" w:w="4873"/>
          </w:tcPr>
          <w:p>
            <w:r>
              <w:t>Mesures</w:t>
            </w:r>
          </w:p>
        </w:tc>
        <w:tc>
          <w:tcPr>
            <w:tcW w:type="dxa" w:w="4873"/>
          </w:tcPr>
          <w:p>
            <w:r>
              <w:t>Contrôle sanitaire immédiat.</w:t>
            </w:r>
          </w:p>
        </w:tc>
      </w:tr>
    </w:tbl>
    <w:p/>
    <w:p>
      <w:pPr>
        <w:pStyle w:val="Heading2"/>
      </w:pPr>
      <w:r>
        <w:rPr>
          <w:rFonts w:ascii="Arial" w:hAnsi="Arial"/>
          <w:color w:val="00468C"/>
          <w:sz w:val="22"/>
        </w:rPr>
        <w:t>Cas 3 : Détection de Salmonella</w:t>
      </w:r>
    </w:p>
    <w:p>
      <w:pPr>
        <w:pStyle w:val="BodyText"/>
      </w:pPr>
      <w:r>
        <w:rPr>
          <w:rFonts w:ascii="Arial" w:hAnsi="Arial"/>
          <w:sz w:val="22"/>
        </w:rPr>
        <w:t>La recherche de Salmonella reste critique dans les industries agroalimentaires.</w:t>
      </w:r>
    </w:p>
    <w:tbl>
      <w:tblPr>
        <w:tblStyle w:val="TableGrid"/>
        <w:tblW w:type="auto" w:w="0"/>
        <w:tblLook w:firstColumn="1" w:firstRow="1" w:lastColumn="0" w:lastRow="0" w:noHBand="0" w:noVBand="1" w:val="04A0"/>
      </w:tblPr>
      <w:tblGrid>
        <w:gridCol w:w="4873"/>
        <w:gridCol w:w="4873"/>
      </w:tblGrid>
      <w:tr>
        <w:tc>
          <w:tcPr>
            <w:tcW w:type="dxa" w:w="4873"/>
            <w:shd w:fill="C00000"/>
          </w:tcPr>
          <w:p>
            <w:r>
              <w:rPr>
                <w:b/>
                <w:color w:val="FFFFFF"/>
              </w:rPr>
              <w:t>Élément</w:t>
            </w:r>
          </w:p>
        </w:tc>
        <w:tc>
          <w:tcPr>
            <w:tcW w:type="dxa" w:w="4873"/>
            <w:shd w:fill="C00000"/>
          </w:tcPr>
          <w:p>
            <w:r>
              <w:rPr>
                <w:b/>
                <w:color w:val="FFFFFF"/>
              </w:rPr>
              <w:t>Description</w:t>
            </w:r>
          </w:p>
        </w:tc>
      </w:tr>
      <w:tr>
        <w:tc>
          <w:tcPr>
            <w:tcW w:type="dxa" w:w="4873"/>
          </w:tcPr>
          <w:p>
            <w:r>
              <w:t>Observation</w:t>
            </w:r>
          </w:p>
        </w:tc>
        <w:tc>
          <w:tcPr>
            <w:tcW w:type="dxa" w:w="4873"/>
          </w:tcPr>
          <w:p>
            <w:r>
              <w:t>Colonies incolores sur milieu sélectif.</w:t>
            </w:r>
          </w:p>
        </w:tc>
      </w:tr>
      <w:tr>
        <w:tc>
          <w:tcPr>
            <w:tcW w:type="dxa" w:w="4873"/>
          </w:tcPr>
          <w:p>
            <w:r>
              <w:t>Mobilité</w:t>
            </w:r>
          </w:p>
        </w:tc>
        <w:tc>
          <w:tcPr>
            <w:tcW w:type="dxa" w:w="4873"/>
          </w:tcPr>
          <w:p>
            <w:r>
              <w:t>Bactérie mobile.</w:t>
            </w:r>
          </w:p>
        </w:tc>
      </w:tr>
      <w:tr>
        <w:tc>
          <w:tcPr>
            <w:tcW w:type="dxa" w:w="4873"/>
          </w:tcPr>
          <w:p>
            <w:r>
              <w:t>Fermentation</w:t>
            </w:r>
          </w:p>
        </w:tc>
        <w:tc>
          <w:tcPr>
            <w:tcW w:type="dxa" w:w="4873"/>
          </w:tcPr>
          <w:p>
            <w:r>
              <w:t>Absence fermentation lactose.</w:t>
            </w:r>
          </w:p>
        </w:tc>
      </w:tr>
      <w:tr>
        <w:tc>
          <w:tcPr>
            <w:tcW w:type="dxa" w:w="4873"/>
          </w:tcPr>
          <w:p>
            <w:r>
              <w:t>Interprétation</w:t>
            </w:r>
          </w:p>
        </w:tc>
        <w:tc>
          <w:tcPr>
            <w:tcW w:type="dxa" w:w="4873"/>
          </w:tcPr>
          <w:p>
            <w:r>
              <w:t>Suspicion Salmonella.</w:t>
            </w:r>
          </w:p>
        </w:tc>
      </w:tr>
      <w:tr>
        <w:tc>
          <w:tcPr>
            <w:tcW w:type="dxa" w:w="4873"/>
          </w:tcPr>
          <w:p>
            <w:r>
              <w:t>Mesures</w:t>
            </w:r>
          </w:p>
        </w:tc>
        <w:tc>
          <w:tcPr>
            <w:tcW w:type="dxa" w:w="4873"/>
          </w:tcPr>
          <w:p>
            <w:r>
              <w:t>Blocage production.</w:t>
            </w:r>
          </w:p>
        </w:tc>
      </w:tr>
    </w:tbl>
    <w:p/>
    <w:p>
      <w:pPr>
        <w:pStyle w:val="Heading2"/>
      </w:pPr>
      <w:r>
        <w:rPr>
          <w:rFonts w:ascii="Arial" w:hAnsi="Arial"/>
          <w:color w:val="00468C"/>
          <w:sz w:val="22"/>
        </w:rPr>
        <w:t>Cas 4 : Contamination environnementale</w:t>
      </w:r>
    </w:p>
    <w:p>
      <w:pPr>
        <w:pStyle w:val="BodyText"/>
      </w:pPr>
      <w:r>
        <w:rPr>
          <w:rFonts w:ascii="Arial" w:hAnsi="Arial"/>
          <w:sz w:val="22"/>
        </w:rPr>
        <w:t>Les contrôles environnementaux permettent de surveiller les salles propres et zones critiques.</w:t>
      </w:r>
    </w:p>
    <w:tbl>
      <w:tblPr>
        <w:tblStyle w:val="TableGrid"/>
        <w:tblW w:type="auto" w:w="0"/>
        <w:tblLook w:firstColumn="1" w:firstRow="1" w:lastColumn="0" w:lastRow="0" w:noHBand="0" w:noVBand="1" w:val="04A0"/>
      </w:tblPr>
      <w:tblGrid>
        <w:gridCol w:w="4873"/>
        <w:gridCol w:w="4873"/>
      </w:tblGrid>
      <w:tr>
        <w:tc>
          <w:tcPr>
            <w:tcW w:type="dxa" w:w="4873"/>
            <w:shd w:fill="E67E22"/>
          </w:tcPr>
          <w:p>
            <w:r>
              <w:rPr>
                <w:b/>
                <w:color w:val="FFFFFF"/>
              </w:rPr>
              <w:t>Élément</w:t>
            </w:r>
          </w:p>
        </w:tc>
        <w:tc>
          <w:tcPr>
            <w:tcW w:type="dxa" w:w="4873"/>
            <w:shd w:fill="E67E22"/>
          </w:tcPr>
          <w:p>
            <w:r>
              <w:rPr>
                <w:b/>
                <w:color w:val="FFFFFF"/>
              </w:rPr>
              <w:t>Description</w:t>
            </w:r>
          </w:p>
        </w:tc>
      </w:tr>
      <w:tr>
        <w:tc>
          <w:tcPr>
            <w:tcW w:type="dxa" w:w="4873"/>
          </w:tcPr>
          <w:p>
            <w:r>
              <w:t>Observation</w:t>
            </w:r>
          </w:p>
        </w:tc>
        <w:tc>
          <w:tcPr>
            <w:tcW w:type="dxa" w:w="4873"/>
          </w:tcPr>
          <w:p>
            <w:r>
              <w:t>Colonies multiples après incubation.</w:t>
            </w:r>
          </w:p>
        </w:tc>
      </w:tr>
      <w:tr>
        <w:tc>
          <w:tcPr>
            <w:tcW w:type="dxa" w:w="4873"/>
          </w:tcPr>
          <w:p>
            <w:r>
              <w:t>Gram</w:t>
            </w:r>
          </w:p>
        </w:tc>
        <w:tc>
          <w:tcPr>
            <w:tcW w:type="dxa" w:w="4873"/>
          </w:tcPr>
          <w:p>
            <w:r>
              <w:t>Présence bacilles Gram négatif.</w:t>
            </w:r>
          </w:p>
        </w:tc>
      </w:tr>
      <w:tr>
        <w:tc>
          <w:tcPr>
            <w:tcW w:type="dxa" w:w="4873"/>
          </w:tcPr>
          <w:p>
            <w:r>
              <w:t>Origine possible</w:t>
            </w:r>
          </w:p>
        </w:tc>
        <w:tc>
          <w:tcPr>
            <w:tcW w:type="dxa" w:w="4873"/>
          </w:tcPr>
          <w:p>
            <w:r>
              <w:t>Défaut d’asepsie.</w:t>
            </w:r>
          </w:p>
        </w:tc>
      </w:tr>
      <w:tr>
        <w:tc>
          <w:tcPr>
            <w:tcW w:type="dxa" w:w="4873"/>
          </w:tcPr>
          <w:p>
            <w:r>
              <w:t>Risque</w:t>
            </w:r>
          </w:p>
        </w:tc>
        <w:tc>
          <w:tcPr>
            <w:tcW w:type="dxa" w:w="4873"/>
          </w:tcPr>
          <w:p>
            <w:r>
              <w:t>Contamination croisée.</w:t>
            </w:r>
          </w:p>
        </w:tc>
      </w:tr>
      <w:tr>
        <w:tc>
          <w:tcPr>
            <w:tcW w:type="dxa" w:w="4873"/>
          </w:tcPr>
          <w:p>
            <w:r>
              <w:t>Mesures</w:t>
            </w:r>
          </w:p>
        </w:tc>
        <w:tc>
          <w:tcPr>
            <w:tcW w:type="dxa" w:w="4873"/>
          </w:tcPr>
          <w:p>
            <w:r>
              <w:t>Investigation qualité complète.</w:t>
            </w:r>
          </w:p>
        </w:tc>
      </w:tr>
    </w:tbl>
    <w:p/>
    <w:p>
      <w:pPr>
        <w:pStyle w:val="Heading2"/>
      </w:pPr>
      <w:r>
        <w:rPr>
          <w:rFonts w:ascii="Arial" w:hAnsi="Arial"/>
          <w:color w:val="00468C"/>
          <w:sz w:val="22"/>
        </w:rPr>
        <w:t>Cas 5 : Analyse microbiologique de l’eau</w:t>
      </w:r>
    </w:p>
    <w:p>
      <w:pPr>
        <w:pStyle w:val="BodyText"/>
      </w:pPr>
      <w:r>
        <w:rPr>
          <w:rFonts w:ascii="Arial" w:hAnsi="Arial"/>
          <w:sz w:val="22"/>
        </w:rPr>
        <w:t>Les analyses d’eau permettent de vérifier la qualité microbiologique des réseaux industriels.</w:t>
      </w:r>
    </w:p>
    <w:tbl>
      <w:tblPr>
        <w:tblStyle w:val="TableGrid"/>
        <w:tblW w:type="auto" w:w="0"/>
        <w:tblLook w:firstColumn="1" w:firstRow="1" w:lastColumn="0" w:lastRow="0" w:noHBand="0" w:noVBand="1" w:val="04A0"/>
      </w:tblPr>
      <w:tblGrid>
        <w:gridCol w:w="4873"/>
        <w:gridCol w:w="4873"/>
      </w:tblGrid>
      <w:tr>
        <w:tc>
          <w:tcPr>
            <w:tcW w:type="dxa" w:w="4873"/>
            <w:shd w:fill="005B96"/>
          </w:tcPr>
          <w:p>
            <w:r>
              <w:rPr>
                <w:b/>
                <w:color w:val="FFFFFF"/>
              </w:rPr>
              <w:t>Élément</w:t>
            </w:r>
          </w:p>
        </w:tc>
        <w:tc>
          <w:tcPr>
            <w:tcW w:type="dxa" w:w="4873"/>
            <w:shd w:fill="005B96"/>
          </w:tcPr>
          <w:p>
            <w:r>
              <w:rPr>
                <w:b/>
                <w:color w:val="FFFFFF"/>
              </w:rPr>
              <w:t>Description</w:t>
            </w:r>
          </w:p>
        </w:tc>
      </w:tr>
      <w:tr>
        <w:tc>
          <w:tcPr>
            <w:tcW w:type="dxa" w:w="4873"/>
          </w:tcPr>
          <w:p>
            <w:r>
              <w:t>Observation</w:t>
            </w:r>
          </w:p>
        </w:tc>
        <w:tc>
          <w:tcPr>
            <w:tcW w:type="dxa" w:w="4873"/>
          </w:tcPr>
          <w:p>
            <w:r>
              <w:t>Croissance bactérienne élevée.</w:t>
            </w:r>
          </w:p>
        </w:tc>
      </w:tr>
      <w:tr>
        <w:tc>
          <w:tcPr>
            <w:tcW w:type="dxa" w:w="4873"/>
          </w:tcPr>
          <w:p>
            <w:r>
              <w:t>Résultat</w:t>
            </w:r>
          </w:p>
        </w:tc>
        <w:tc>
          <w:tcPr>
            <w:tcW w:type="dxa" w:w="4873"/>
          </w:tcPr>
          <w:p>
            <w:r>
              <w:t>Présence de coliformes.</w:t>
            </w:r>
          </w:p>
        </w:tc>
      </w:tr>
      <w:tr>
        <w:tc>
          <w:tcPr>
            <w:tcW w:type="dxa" w:w="4873"/>
          </w:tcPr>
          <w:p>
            <w:r>
              <w:t>Interprétation</w:t>
            </w:r>
          </w:p>
        </w:tc>
        <w:tc>
          <w:tcPr>
            <w:tcW w:type="dxa" w:w="4873"/>
          </w:tcPr>
          <w:p>
            <w:r>
              <w:t>Contamination eau.</w:t>
            </w:r>
          </w:p>
        </w:tc>
      </w:tr>
      <w:tr>
        <w:tc>
          <w:tcPr>
            <w:tcW w:type="dxa" w:w="4873"/>
          </w:tcPr>
          <w:p>
            <w:r>
              <w:t>Conséquence</w:t>
            </w:r>
          </w:p>
        </w:tc>
        <w:tc>
          <w:tcPr>
            <w:tcW w:type="dxa" w:w="4873"/>
          </w:tcPr>
          <w:p>
            <w:r>
              <w:t>Risque sanitaire.</w:t>
            </w:r>
          </w:p>
        </w:tc>
      </w:tr>
      <w:tr>
        <w:tc>
          <w:tcPr>
            <w:tcW w:type="dxa" w:w="4873"/>
          </w:tcPr>
          <w:p>
            <w:r>
              <w:t>Mesures</w:t>
            </w:r>
          </w:p>
        </w:tc>
        <w:tc>
          <w:tcPr>
            <w:tcW w:type="dxa" w:w="4873"/>
          </w:tcPr>
          <w:p>
            <w:r>
              <w:t>Traitement et désinfection.</w:t>
            </w:r>
          </w:p>
        </w:tc>
      </w:tr>
    </w:tbl>
    <w:p/>
    <w:p>
      <w:pPr>
        <w:pStyle w:val="Heading2"/>
      </w:pPr>
      <w:r>
        <w:rPr>
          <w:rFonts w:ascii="Arial" w:hAnsi="Arial"/>
          <w:sz w:val="22"/>
        </w:rPr>
        <w:t>Indications et bonnes pratiques au laboratoire</w:t>
      </w:r>
    </w:p>
    <w:p>
      <w:pPr>
        <w:pStyle w:val="ListBullet"/>
      </w:pPr>
      <w:r>
        <w:rPr>
          <w:rFonts w:ascii="Arial" w:hAnsi="Arial"/>
          <w:sz w:val="22"/>
        </w:rPr>
        <w:t>Toujours vérifier les dates de péremption des milieux de culture.</w:t>
      </w:r>
    </w:p>
    <w:p>
      <w:pPr>
        <w:pStyle w:val="ListBullet"/>
      </w:pPr>
      <w:r>
        <w:rPr>
          <w:rFonts w:ascii="Arial" w:hAnsi="Arial"/>
          <w:sz w:val="22"/>
        </w:rPr>
        <w:t>Respecter strictement les règles d’asepsie.</w:t>
      </w:r>
    </w:p>
    <w:p>
      <w:pPr>
        <w:pStyle w:val="ListBullet"/>
      </w:pPr>
      <w:r>
        <w:rPr>
          <w:rFonts w:ascii="Arial" w:hAnsi="Arial"/>
          <w:sz w:val="22"/>
        </w:rPr>
        <w:t>Tracer toutes les manipulations dans le cahier de laboratoire.</w:t>
      </w:r>
    </w:p>
    <w:p>
      <w:pPr>
        <w:pStyle w:val="ListBullet"/>
      </w:pPr>
      <w:r>
        <w:rPr>
          <w:rFonts w:ascii="Arial" w:hAnsi="Arial"/>
          <w:sz w:val="22"/>
        </w:rPr>
        <w:t>Contrôler régulièrement les incubateurs et autoclaves.</w:t>
      </w:r>
    </w:p>
    <w:p>
      <w:pPr>
        <w:pStyle w:val="ListBullet"/>
      </w:pPr>
      <w:r>
        <w:rPr>
          <w:rFonts w:ascii="Arial" w:hAnsi="Arial"/>
          <w:sz w:val="22"/>
        </w:rPr>
        <w:t>Porter systématiquement les équipements de protection.</w:t>
      </w:r>
    </w:p>
    <w:p>
      <w:pPr>
        <w:pStyle w:val="ListBullet"/>
      </w:pPr>
      <w:r>
        <w:rPr>
          <w:rFonts w:ascii="Arial" w:hAnsi="Arial"/>
          <w:sz w:val="22"/>
        </w:rPr>
        <w:t>Éviter les contaminations croisées lors des manipulations.</w:t>
      </w:r>
    </w:p>
    <w:p>
      <w:pPr>
        <w:pStyle w:val="Heading2"/>
      </w:pPr>
      <w:r>
        <w:rPr>
          <w:rFonts w:ascii="Arial" w:hAnsi="Arial"/>
          <w:sz w:val="22"/>
        </w:rPr>
        <w:t>Erreurs fréquentes en identification bactérienne</w:t>
      </w:r>
    </w:p>
    <w:tbl>
      <w:tblPr>
        <w:tblStyle w:val="TableGrid"/>
        <w:tblW w:type="auto" w:w="0"/>
        <w:tblLook w:firstColumn="1" w:firstRow="1" w:lastColumn="0" w:lastRow="0" w:noHBand="0" w:noVBand="1" w:val="04A0"/>
      </w:tblPr>
      <w:tblGrid>
        <w:gridCol w:w="4873"/>
        <w:gridCol w:w="4873"/>
      </w:tblGrid>
      <w:tr>
        <w:tc>
          <w:tcPr>
            <w:tcW w:type="dxa" w:w="4873"/>
            <w:shd w:fill="C00000"/>
          </w:tcPr>
          <w:p>
            <w:r>
              <w:rPr>
                <w:b/>
                <w:color w:val="FFFFFF"/>
              </w:rPr>
              <w:t>Erreur</w:t>
            </w:r>
          </w:p>
        </w:tc>
        <w:tc>
          <w:tcPr>
            <w:tcW w:type="dxa" w:w="4873"/>
            <w:shd w:fill="C00000"/>
          </w:tcPr>
          <w:p>
            <w:r>
              <w:rPr>
                <w:b/>
                <w:color w:val="FFFFFF"/>
              </w:rPr>
              <w:t>Conséquence</w:t>
            </w:r>
          </w:p>
        </w:tc>
      </w:tr>
      <w:tr>
        <w:tc>
          <w:tcPr>
            <w:tcW w:type="dxa" w:w="4873"/>
          </w:tcPr>
          <w:p>
            <w:r>
              <w:t>Mauvaise incubation</w:t>
            </w:r>
          </w:p>
        </w:tc>
        <w:tc>
          <w:tcPr>
            <w:tcW w:type="dxa" w:w="4873"/>
          </w:tcPr>
          <w:p>
            <w:r>
              <w:t>Résultats faussés</w:t>
            </w:r>
          </w:p>
        </w:tc>
      </w:tr>
      <w:tr>
        <w:tc>
          <w:tcPr>
            <w:tcW w:type="dxa" w:w="4873"/>
          </w:tcPr>
          <w:p>
            <w:r>
              <w:t>Erreur de Gram</w:t>
            </w:r>
          </w:p>
        </w:tc>
        <w:tc>
          <w:tcPr>
            <w:tcW w:type="dxa" w:w="4873"/>
          </w:tcPr>
          <w:p>
            <w:r>
              <w:t>Mauvaise orientation</w:t>
            </w:r>
          </w:p>
        </w:tc>
      </w:tr>
      <w:tr>
        <w:tc>
          <w:tcPr>
            <w:tcW w:type="dxa" w:w="4873"/>
          </w:tcPr>
          <w:p>
            <w:r>
              <w:t>Défaut d’asepsie</w:t>
            </w:r>
          </w:p>
        </w:tc>
        <w:tc>
          <w:tcPr>
            <w:tcW w:type="dxa" w:w="4873"/>
          </w:tcPr>
          <w:p>
            <w:r>
              <w:t>Contamination parasite</w:t>
            </w:r>
          </w:p>
        </w:tc>
      </w:tr>
      <w:tr>
        <w:tc>
          <w:tcPr>
            <w:tcW w:type="dxa" w:w="4873"/>
          </w:tcPr>
          <w:p>
            <w:r>
              <w:t>Erreur d’étiquetage</w:t>
            </w:r>
          </w:p>
        </w:tc>
        <w:tc>
          <w:tcPr>
            <w:tcW w:type="dxa" w:w="4873"/>
          </w:tcPr>
          <w:p>
            <w:r>
              <w:t>Confusion analyses</w:t>
            </w:r>
          </w:p>
        </w:tc>
      </w:tr>
      <w:tr>
        <w:tc>
          <w:tcPr>
            <w:tcW w:type="dxa" w:w="4873"/>
          </w:tcPr>
          <w:p>
            <w:r>
              <w:t>Mauvaise documentation</w:t>
            </w:r>
          </w:p>
        </w:tc>
        <w:tc>
          <w:tcPr>
            <w:tcW w:type="dxa" w:w="4873"/>
          </w:tcPr>
          <w:p>
            <w:r>
              <w:t>Perte traçabilité</w:t>
            </w:r>
          </w:p>
        </w:tc>
      </w:tr>
    </w:tbl>
    <w:sectPr w:rsidR="00FC693F" w:rsidRPr="0006063C"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