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003366"/>
          <w:sz w:val="60"/>
        </w:rPr>
        <w:t>MISSION REPORT</w:t>
      </w:r>
    </w:p>
    <w:p>
      <w:pPr>
        <w:jc w:val="center"/>
      </w:pPr>
      <w:r>
        <w:t>Operational Excellence &amp; Performance Improvement Program</w:t>
      </w:r>
    </w:p>
    <w:tbl>
      <w:tblPr>
        <w:tblW w:type="auto" w:w="0"/>
        <w:jc w:val="center"/>
        <w:tblLook w:firstColumn="1" w:firstRow="1" w:lastColumn="0" w:lastRow="0" w:noHBand="0" w:noVBand="1" w:val="04A0"/>
      </w:tblPr>
      <w:tblGrid>
        <w:gridCol w:w="5112"/>
        <w:gridCol w:w="5112"/>
      </w:tblGrid>
      <w:tr>
        <w:tc>
          <w:tcPr>
            <w:tcW w:type="dxa" w:w="5112"/>
            <w:shd w:val="clear" w:fill="003366"/>
          </w:tcPr>
          <w:p>
            <w:r>
              <w:rPr>
                <w:color w:val="FFFFFF"/>
              </w:rPr>
              <w:t>Client</w:t>
            </w:r>
          </w:p>
        </w:tc>
        <w:tc>
          <w:tcPr>
            <w:tcW w:type="dxa" w:w="5112"/>
          </w:tcPr>
          <w:p>
            <w:r>
              <w:t>Atlas Manufacturing</w:t>
            </w:r>
          </w:p>
        </w:tc>
      </w:tr>
      <w:tr>
        <w:tc>
          <w:tcPr>
            <w:tcW w:type="dxa" w:w="5112"/>
            <w:shd w:val="clear" w:fill="003366"/>
          </w:tcPr>
          <w:p>
            <w:r>
              <w:rPr>
                <w:color w:val="FFFFFF"/>
              </w:rPr>
              <w:t>Division</w:t>
            </w:r>
          </w:p>
        </w:tc>
        <w:tc>
          <w:tcPr>
            <w:tcW w:type="dxa" w:w="5112"/>
          </w:tcPr>
          <w:p>
            <w:r>
              <w:t>Operations</w:t>
            </w:r>
          </w:p>
        </w:tc>
      </w:tr>
      <w:tr>
        <w:tc>
          <w:tcPr>
            <w:tcW w:type="dxa" w:w="5112"/>
            <w:shd w:val="clear" w:fill="003366"/>
          </w:tcPr>
          <w:p>
            <w:r>
              <w:rPr>
                <w:color w:val="FFFFFF"/>
              </w:rPr>
              <w:t>Consultant</w:t>
            </w:r>
          </w:p>
        </w:tc>
        <w:tc>
          <w:tcPr>
            <w:tcW w:type="dxa" w:w="5112"/>
          </w:tcPr>
          <w:p>
            <w:r>
              <w:t>Jean Dupont</w:t>
            </w:r>
          </w:p>
        </w:tc>
      </w:tr>
      <w:tr>
        <w:tc>
          <w:tcPr>
            <w:tcW w:type="dxa" w:w="5112"/>
            <w:shd w:val="clear" w:fill="003366"/>
          </w:tcPr>
          <w:p>
            <w:r>
              <w:rPr>
                <w:color w:val="FFFFFF"/>
              </w:rPr>
              <w:t>Duration</w:t>
            </w:r>
          </w:p>
        </w:tc>
        <w:tc>
          <w:tcPr>
            <w:tcW w:type="dxa" w:w="5112"/>
          </w:tcPr>
          <w:p>
            <w:r>
              <w:t>6 Weeks</w:t>
            </w:r>
          </w:p>
        </w:tc>
      </w:tr>
      <w:tr>
        <w:tc>
          <w:tcPr>
            <w:tcW w:type="dxa" w:w="5112"/>
            <w:shd w:val="clear" w:fill="003366"/>
          </w:tcPr>
          <w:p>
            <w:r>
              <w:rPr>
                <w:color w:val="FFFFFF"/>
              </w:rPr>
              <w:t>Date</w:t>
            </w:r>
          </w:p>
        </w:tc>
        <w:tc>
          <w:tcPr>
            <w:tcW w:type="dxa" w:w="5112"/>
          </w:tcPr>
          <w:p>
            <w:r>
              <w:t>April 2026</w:t>
            </w:r>
          </w:p>
        </w:tc>
      </w:tr>
    </w:tbl>
    <w:p>
      <w:r>
        <w:br w:type="page"/>
      </w:r>
    </w:p>
    <w:p>
      <w:pPr>
        <w:pStyle w:val="Heading1"/>
      </w:pPr>
      <w:r>
        <w:t>EXECUTIVE SUMMARY</w:t>
      </w:r>
    </w:p>
    <w:p>
      <w:r>
        <w:t>The mission aimed to assess operational performance and identify efficiency levers. The analysis highlights structural bottlenecks, inconsistent data flows, and limited KPI visibility. Recommended actions focus on process standardization, digitalization, and performance tracking.</w:t>
      </w:r>
    </w:p>
    <w:p>
      <w:pPr>
        <w:pStyle w:val="Heading1"/>
      </w:pPr>
      <w:r>
        <w:t>DETAILED FINDINGS MATRIX</w:t>
      </w:r>
    </w:p>
    <w:tbl>
      <w:tblPr>
        <w:tblW w:type="auto" w:w="0"/>
        <w:jc w:val="center"/>
        <w:tblLook w:firstColumn="1" w:firstRow="1" w:lastColumn="0" w:lastRow="0" w:noHBand="0" w:noVBand="1" w:val="04A0"/>
      </w:tblPr>
      <w:tblGrid>
        <w:gridCol w:w="2556"/>
        <w:gridCol w:w="2556"/>
        <w:gridCol w:w="2556"/>
        <w:gridCol w:w="2556"/>
      </w:tblGrid>
      <w:tr>
        <w:tc>
          <w:tcPr>
            <w:tcW w:type="dxa" w:w="2556"/>
            <w:shd w:val="clear" w:fill="C00000"/>
          </w:tcPr>
          <w:p>
            <w:r>
              <w:rPr>
                <w:color w:val="FFFFFF"/>
              </w:rPr>
              <w:t>Domain</w:t>
            </w:r>
          </w:p>
        </w:tc>
        <w:tc>
          <w:tcPr>
            <w:tcW w:type="dxa" w:w="2556"/>
            <w:shd w:val="clear" w:fill="C00000"/>
          </w:tcPr>
          <w:p>
            <w:r>
              <w:rPr>
                <w:color w:val="FFFFFF"/>
              </w:rPr>
              <w:t>Observation</w:t>
            </w:r>
          </w:p>
        </w:tc>
        <w:tc>
          <w:tcPr>
            <w:tcW w:type="dxa" w:w="2556"/>
            <w:shd w:val="clear" w:fill="C00000"/>
          </w:tcPr>
          <w:p>
            <w:r>
              <w:rPr>
                <w:color w:val="FFFFFF"/>
              </w:rPr>
              <w:t>Root Cause</w:t>
            </w:r>
          </w:p>
        </w:tc>
        <w:tc>
          <w:tcPr>
            <w:tcW w:type="dxa" w:w="2556"/>
            <w:shd w:val="clear" w:fill="C00000"/>
          </w:tcPr>
          <w:p>
            <w:r>
              <w:rPr>
                <w:color w:val="FFFFFF"/>
              </w:rPr>
              <w:t>Impact</w:t>
            </w:r>
          </w:p>
        </w:tc>
      </w:tr>
      <w:tr>
        <w:tc>
          <w:tcPr>
            <w:tcW w:type="dxa" w:w="2556"/>
          </w:tcPr>
          <w:p>
            <w:r>
              <w:t>Production</w:t>
            </w:r>
          </w:p>
        </w:tc>
        <w:tc>
          <w:tcPr>
            <w:tcW w:type="dxa" w:w="2556"/>
          </w:tcPr>
          <w:p>
            <w:r>
              <w:t>Delays in workflow</w:t>
            </w:r>
          </w:p>
        </w:tc>
        <w:tc>
          <w:tcPr>
            <w:tcW w:type="dxa" w:w="2556"/>
          </w:tcPr>
          <w:p>
            <w:r>
              <w:t>Poor planning</w:t>
            </w:r>
          </w:p>
        </w:tc>
        <w:tc>
          <w:tcPr>
            <w:tcW w:type="dxa" w:w="2556"/>
          </w:tcPr>
          <w:p>
            <w:r>
              <w:t>Throughput loss</w:t>
            </w:r>
          </w:p>
        </w:tc>
      </w:tr>
      <w:tr>
        <w:tc>
          <w:tcPr>
            <w:tcW w:type="dxa" w:w="2556"/>
            <w:shd w:val="clear" w:fill="F2F2F2"/>
          </w:tcPr>
          <w:p>
            <w:r>
              <w:t>Finance</w:t>
            </w:r>
          </w:p>
        </w:tc>
        <w:tc>
          <w:tcPr>
            <w:tcW w:type="dxa" w:w="2556"/>
            <w:shd w:val="clear" w:fill="F2F2F2"/>
          </w:tcPr>
          <w:p>
            <w:r>
              <w:t>Manual reports</w:t>
            </w:r>
          </w:p>
        </w:tc>
        <w:tc>
          <w:tcPr>
            <w:tcW w:type="dxa" w:w="2556"/>
            <w:shd w:val="clear" w:fill="F2F2F2"/>
          </w:tcPr>
          <w:p>
            <w:r>
              <w:t>Lack of tools</w:t>
            </w:r>
          </w:p>
        </w:tc>
        <w:tc>
          <w:tcPr>
            <w:tcW w:type="dxa" w:w="2556"/>
            <w:shd w:val="clear" w:fill="F2F2F2"/>
          </w:tcPr>
          <w:p>
            <w:r>
              <w:t>Slow decisions</w:t>
            </w:r>
          </w:p>
        </w:tc>
      </w:tr>
      <w:tr>
        <w:tc>
          <w:tcPr>
            <w:tcW w:type="dxa" w:w="2556"/>
          </w:tcPr>
          <w:p>
            <w:r>
              <w:t>HR</w:t>
            </w:r>
          </w:p>
        </w:tc>
        <w:tc>
          <w:tcPr>
            <w:tcW w:type="dxa" w:w="2556"/>
          </w:tcPr>
          <w:p>
            <w:r>
              <w:t>Onboarding gaps</w:t>
            </w:r>
          </w:p>
        </w:tc>
        <w:tc>
          <w:tcPr>
            <w:tcW w:type="dxa" w:w="2556"/>
          </w:tcPr>
          <w:p>
            <w:r>
              <w:t>No standard process</w:t>
            </w:r>
          </w:p>
        </w:tc>
        <w:tc>
          <w:tcPr>
            <w:tcW w:type="dxa" w:w="2556"/>
          </w:tcPr>
          <w:p>
            <w:r>
              <w:t>Low productivity</w:t>
            </w:r>
          </w:p>
        </w:tc>
      </w:tr>
      <w:tr>
        <w:tc>
          <w:tcPr>
            <w:tcW w:type="dxa" w:w="2556"/>
            <w:shd w:val="clear" w:fill="F2F2F2"/>
          </w:tcPr>
          <w:p>
            <w:r>
              <w:t>IT</w:t>
            </w:r>
          </w:p>
        </w:tc>
        <w:tc>
          <w:tcPr>
            <w:tcW w:type="dxa" w:w="2556"/>
            <w:shd w:val="clear" w:fill="F2F2F2"/>
          </w:tcPr>
          <w:p>
            <w:r>
              <w:t>Fragmented systems</w:t>
            </w:r>
          </w:p>
        </w:tc>
        <w:tc>
          <w:tcPr>
            <w:tcW w:type="dxa" w:w="2556"/>
            <w:shd w:val="clear" w:fill="F2F2F2"/>
          </w:tcPr>
          <w:p>
            <w:r>
              <w:t>Legacy tools</w:t>
            </w:r>
          </w:p>
        </w:tc>
        <w:tc>
          <w:tcPr>
            <w:tcW w:type="dxa" w:w="2556"/>
            <w:shd w:val="clear" w:fill="F2F2F2"/>
          </w:tcPr>
          <w:p>
            <w:r>
              <w:t>Data inconsistency</w:t>
            </w:r>
          </w:p>
        </w:tc>
      </w:tr>
      <w:tr>
        <w:tc>
          <w:tcPr>
            <w:tcW w:type="dxa" w:w="2556"/>
          </w:tcPr>
          <w:p>
            <w:r>
              <w:t>Logistics</w:t>
            </w:r>
          </w:p>
        </w:tc>
        <w:tc>
          <w:tcPr>
            <w:tcW w:type="dxa" w:w="2556"/>
          </w:tcPr>
          <w:p>
            <w:r>
              <w:t>Stock misalignment</w:t>
            </w:r>
          </w:p>
        </w:tc>
        <w:tc>
          <w:tcPr>
            <w:tcW w:type="dxa" w:w="2556"/>
          </w:tcPr>
          <w:p>
            <w:r>
              <w:t>Forecast errors</w:t>
            </w:r>
          </w:p>
        </w:tc>
        <w:tc>
          <w:tcPr>
            <w:tcW w:type="dxa" w:w="2556"/>
          </w:tcPr>
          <w:p>
            <w:r>
              <w:t>Overstock costs</w:t>
            </w:r>
          </w:p>
        </w:tc>
      </w:tr>
    </w:tbl>
    <w:p>
      <w:pPr>
        <w:pStyle w:val="Heading1"/>
      </w:pPr>
      <w:r>
        <w:t>RISK ASSESSMENT MATRIX</w:t>
      </w:r>
    </w:p>
    <w:tbl>
      <w:tblPr>
        <w:tblW w:type="auto" w:w="0"/>
        <w:tblLook w:firstColumn="1" w:firstRow="1" w:lastColumn="0" w:lastRow="0" w:noHBand="0" w:noVBand="1" w:val="04A0"/>
      </w:tblPr>
      <w:tblGrid>
        <w:gridCol w:w="2556"/>
        <w:gridCol w:w="2556"/>
        <w:gridCol w:w="2556"/>
        <w:gridCol w:w="2556"/>
      </w:tblGrid>
      <w:tr>
        <w:tc>
          <w:tcPr>
            <w:tcW w:type="dxa" w:w="2556"/>
            <w:shd w:val="clear" w:fill="7030A0"/>
          </w:tcPr>
          <w:p>
            <w:r>
              <w:rPr>
                <w:color w:val="FFFFFF"/>
              </w:rPr>
              <w:t>Risk</w:t>
            </w:r>
          </w:p>
        </w:tc>
        <w:tc>
          <w:tcPr>
            <w:tcW w:type="dxa" w:w="2556"/>
            <w:shd w:val="clear" w:fill="7030A0"/>
          </w:tcPr>
          <w:p>
            <w:r>
              <w:rPr>
                <w:color w:val="FFFFFF"/>
              </w:rPr>
              <w:t>Probability</w:t>
            </w:r>
          </w:p>
        </w:tc>
        <w:tc>
          <w:tcPr>
            <w:tcW w:type="dxa" w:w="2556"/>
            <w:shd w:val="clear" w:fill="7030A0"/>
          </w:tcPr>
          <w:p>
            <w:r>
              <w:rPr>
                <w:color w:val="FFFFFF"/>
              </w:rPr>
              <w:t>Impact</w:t>
            </w:r>
          </w:p>
        </w:tc>
        <w:tc>
          <w:tcPr>
            <w:tcW w:type="dxa" w:w="2556"/>
            <w:shd w:val="clear" w:fill="7030A0"/>
          </w:tcPr>
          <w:p>
            <w:r>
              <w:rPr>
                <w:color w:val="FFFFFF"/>
              </w:rPr>
              <w:t>Mitigation</w:t>
            </w:r>
          </w:p>
        </w:tc>
      </w:tr>
      <w:tr>
        <w:tc>
          <w:tcPr>
            <w:tcW w:type="dxa" w:w="2556"/>
          </w:tcPr>
          <w:p>
            <w:r>
              <w:t>Data quality issues</w:t>
            </w:r>
          </w:p>
        </w:tc>
        <w:tc>
          <w:tcPr>
            <w:tcW w:type="dxa" w:w="2556"/>
          </w:tcPr>
          <w:p>
            <w:r>
              <w:t>High</w:t>
            </w:r>
          </w:p>
        </w:tc>
        <w:tc>
          <w:tcPr>
            <w:tcW w:type="dxa" w:w="2556"/>
          </w:tcPr>
          <w:p>
            <w:r>
              <w:t>High</w:t>
            </w:r>
          </w:p>
        </w:tc>
        <w:tc>
          <w:tcPr>
            <w:tcW w:type="dxa" w:w="2556"/>
          </w:tcPr>
          <w:p>
            <w:r>
              <w:t>Data governance</w:t>
            </w:r>
          </w:p>
        </w:tc>
      </w:tr>
      <w:tr>
        <w:tc>
          <w:tcPr>
            <w:tcW w:type="dxa" w:w="2556"/>
            <w:shd w:val="clear" w:fill="EFEFEF"/>
          </w:tcPr>
          <w:p>
            <w:r>
              <w:t>Resistance to change</w:t>
            </w:r>
          </w:p>
        </w:tc>
        <w:tc>
          <w:tcPr>
            <w:tcW w:type="dxa" w:w="2556"/>
            <w:shd w:val="clear" w:fill="EFEFEF"/>
          </w:tcPr>
          <w:p>
            <w:r>
              <w:t>Medium</w:t>
            </w:r>
          </w:p>
        </w:tc>
        <w:tc>
          <w:tcPr>
            <w:tcW w:type="dxa" w:w="2556"/>
            <w:shd w:val="clear" w:fill="EFEFEF"/>
          </w:tcPr>
          <w:p>
            <w:r>
              <w:t>High</w:t>
            </w:r>
          </w:p>
        </w:tc>
        <w:tc>
          <w:tcPr>
            <w:tcW w:type="dxa" w:w="2556"/>
            <w:shd w:val="clear" w:fill="EFEFEF"/>
          </w:tcPr>
          <w:p>
            <w:r>
              <w:t>Training</w:t>
            </w:r>
          </w:p>
        </w:tc>
      </w:tr>
      <w:tr>
        <w:tc>
          <w:tcPr>
            <w:tcW w:type="dxa" w:w="2556"/>
          </w:tcPr>
          <w:p>
            <w:r>
              <w:t>Budget constraints</w:t>
            </w:r>
          </w:p>
        </w:tc>
        <w:tc>
          <w:tcPr>
            <w:tcW w:type="dxa" w:w="2556"/>
          </w:tcPr>
          <w:p>
            <w:r>
              <w:t>Medium</w:t>
            </w:r>
          </w:p>
        </w:tc>
        <w:tc>
          <w:tcPr>
            <w:tcW w:type="dxa" w:w="2556"/>
          </w:tcPr>
          <w:p>
            <w:r>
              <w:t>Medium</w:t>
            </w:r>
          </w:p>
        </w:tc>
        <w:tc>
          <w:tcPr>
            <w:tcW w:type="dxa" w:w="2556"/>
          </w:tcPr>
          <w:p>
            <w:r>
              <w:t>Phased rollout</w:t>
            </w:r>
          </w:p>
        </w:tc>
      </w:tr>
      <w:tr>
        <w:tc>
          <w:tcPr>
            <w:tcW w:type="dxa" w:w="2556"/>
            <w:shd w:val="clear" w:fill="EFEFEF"/>
          </w:tcPr>
          <w:p>
            <w:r>
              <w:t>System failure</w:t>
            </w:r>
          </w:p>
        </w:tc>
        <w:tc>
          <w:tcPr>
            <w:tcW w:type="dxa" w:w="2556"/>
            <w:shd w:val="clear" w:fill="EFEFEF"/>
          </w:tcPr>
          <w:p>
            <w:r>
              <w:t>Low</w:t>
            </w:r>
          </w:p>
        </w:tc>
        <w:tc>
          <w:tcPr>
            <w:tcW w:type="dxa" w:w="2556"/>
            <w:shd w:val="clear" w:fill="EFEFEF"/>
          </w:tcPr>
          <w:p>
            <w:r>
              <w:t>High</w:t>
            </w:r>
          </w:p>
        </w:tc>
        <w:tc>
          <w:tcPr>
            <w:tcW w:type="dxa" w:w="2556"/>
            <w:shd w:val="clear" w:fill="EFEFEF"/>
          </w:tcPr>
          <w:p>
            <w:r>
              <w:t>Backup systems</w:t>
            </w:r>
          </w:p>
        </w:tc>
      </w:tr>
    </w:tbl>
    <w:p>
      <w:pPr>
        <w:pStyle w:val="Heading1"/>
      </w:pPr>
      <w:r>
        <w:t>DETAILED ACTION PLAN</w:t>
      </w:r>
    </w:p>
    <w:tbl>
      <w:tblPr>
        <w:tblW w:type="auto" w:w="0"/>
        <w:tblLook w:firstColumn="1" w:firstRow="1" w:lastColumn="0" w:lastRow="0" w:noHBand="0" w:noVBand="1" w:val="04A0"/>
      </w:tblPr>
      <w:tblGrid>
        <w:gridCol w:w="2045"/>
        <w:gridCol w:w="2045"/>
        <w:gridCol w:w="2045"/>
        <w:gridCol w:w="2045"/>
        <w:gridCol w:w="2045"/>
      </w:tblGrid>
      <w:tr>
        <w:tc>
          <w:tcPr>
            <w:tcW w:type="dxa" w:w="2045"/>
            <w:shd w:val="clear" w:fill="00994C"/>
          </w:tcPr>
          <w:p>
            <w:r>
              <w:rPr>
                <w:color w:val="FFFFFF"/>
              </w:rPr>
              <w:t>Action</w:t>
            </w:r>
          </w:p>
        </w:tc>
        <w:tc>
          <w:tcPr>
            <w:tcW w:type="dxa" w:w="2045"/>
            <w:shd w:val="clear" w:fill="00994C"/>
          </w:tcPr>
          <w:p>
            <w:r>
              <w:rPr>
                <w:color w:val="FFFFFF"/>
              </w:rPr>
              <w:t>Owner</w:t>
            </w:r>
          </w:p>
        </w:tc>
        <w:tc>
          <w:tcPr>
            <w:tcW w:type="dxa" w:w="2045"/>
            <w:shd w:val="clear" w:fill="00994C"/>
          </w:tcPr>
          <w:p>
            <w:r>
              <w:rPr>
                <w:color w:val="FFFFFF"/>
              </w:rPr>
              <w:t>Priority</w:t>
            </w:r>
          </w:p>
        </w:tc>
        <w:tc>
          <w:tcPr>
            <w:tcW w:type="dxa" w:w="2045"/>
            <w:shd w:val="clear" w:fill="00994C"/>
          </w:tcPr>
          <w:p>
            <w:r>
              <w:rPr>
                <w:color w:val="FFFFFF"/>
              </w:rPr>
              <w:t>Timeline</w:t>
            </w:r>
          </w:p>
        </w:tc>
        <w:tc>
          <w:tcPr>
            <w:tcW w:type="dxa" w:w="2045"/>
            <w:shd w:val="clear" w:fill="00994C"/>
          </w:tcPr>
          <w:p>
            <w:r>
              <w:rPr>
                <w:color w:val="FFFFFF"/>
              </w:rPr>
              <w:t>Status</w:t>
            </w:r>
          </w:p>
        </w:tc>
      </w:tr>
      <w:tr>
        <w:tc>
          <w:tcPr>
            <w:tcW w:type="dxa" w:w="2045"/>
          </w:tcPr>
          <w:p>
            <w:r>
              <w:t>Process redesign</w:t>
            </w:r>
          </w:p>
        </w:tc>
        <w:tc>
          <w:tcPr>
            <w:tcW w:type="dxa" w:w="2045"/>
          </w:tcPr>
          <w:p>
            <w:r>
              <w:t>Ops Manager</w:t>
            </w:r>
          </w:p>
        </w:tc>
        <w:tc>
          <w:tcPr>
            <w:tcW w:type="dxa" w:w="2045"/>
          </w:tcPr>
          <w:p>
            <w:r>
              <w:t>High</w:t>
            </w:r>
          </w:p>
        </w:tc>
        <w:tc>
          <w:tcPr>
            <w:tcW w:type="dxa" w:w="2045"/>
          </w:tcPr>
          <w:p>
            <w:r>
              <w:t>1 Month</w:t>
            </w:r>
          </w:p>
        </w:tc>
        <w:tc>
          <w:tcPr>
            <w:tcW w:type="dxa" w:w="2045"/>
          </w:tcPr>
          <w:p>
            <w:r>
              <w:t>Pending</w:t>
            </w:r>
          </w:p>
        </w:tc>
      </w:tr>
      <w:tr>
        <w:tc>
          <w:tcPr>
            <w:tcW w:type="dxa" w:w="2045"/>
            <w:shd w:val="clear" w:fill="E8F5E9"/>
          </w:tcPr>
          <w:p>
            <w:r>
              <w:t>KPI dashboard</w:t>
            </w:r>
          </w:p>
        </w:tc>
        <w:tc>
          <w:tcPr>
            <w:tcW w:type="dxa" w:w="2045"/>
            <w:shd w:val="clear" w:fill="E8F5E9"/>
          </w:tcPr>
          <w:p>
            <w:r>
              <w:t>IT Lead</w:t>
            </w:r>
          </w:p>
        </w:tc>
        <w:tc>
          <w:tcPr>
            <w:tcW w:type="dxa" w:w="2045"/>
            <w:shd w:val="clear" w:fill="E8F5E9"/>
          </w:tcPr>
          <w:p>
            <w:r>
              <w:t>High</w:t>
            </w:r>
          </w:p>
        </w:tc>
        <w:tc>
          <w:tcPr>
            <w:tcW w:type="dxa" w:w="2045"/>
            <w:shd w:val="clear" w:fill="E8F5E9"/>
          </w:tcPr>
          <w:p>
            <w:r>
              <w:t>2 Weeks</w:t>
            </w:r>
          </w:p>
        </w:tc>
        <w:tc>
          <w:tcPr>
            <w:tcW w:type="dxa" w:w="2045"/>
            <w:shd w:val="clear" w:fill="E8F5E9"/>
          </w:tcPr>
          <w:p>
            <w:r>
              <w:t>In Progress</w:t>
            </w:r>
          </w:p>
        </w:tc>
      </w:tr>
      <w:tr>
        <w:tc>
          <w:tcPr>
            <w:tcW w:type="dxa" w:w="2045"/>
          </w:tcPr>
          <w:p>
            <w:r>
              <w:t>Training sessions</w:t>
            </w:r>
          </w:p>
        </w:tc>
        <w:tc>
          <w:tcPr>
            <w:tcW w:type="dxa" w:w="2045"/>
          </w:tcPr>
          <w:p>
            <w:r>
              <w:t>HR</w:t>
            </w:r>
          </w:p>
        </w:tc>
        <w:tc>
          <w:tcPr>
            <w:tcW w:type="dxa" w:w="2045"/>
          </w:tcPr>
          <w:p>
            <w:r>
              <w:t>Medium</w:t>
            </w:r>
          </w:p>
        </w:tc>
        <w:tc>
          <w:tcPr>
            <w:tcW w:type="dxa" w:w="2045"/>
          </w:tcPr>
          <w:p>
            <w:r>
              <w:t>3 Weeks</w:t>
            </w:r>
          </w:p>
        </w:tc>
        <w:tc>
          <w:tcPr>
            <w:tcW w:type="dxa" w:w="2045"/>
          </w:tcPr>
          <w:p>
            <w:r>
              <w:t>Planned</w:t>
            </w:r>
          </w:p>
        </w:tc>
      </w:tr>
      <w:tr>
        <w:tc>
          <w:tcPr>
            <w:tcW w:type="dxa" w:w="2045"/>
            <w:shd w:val="clear" w:fill="E8F5E9"/>
          </w:tcPr>
          <w:p>
            <w:r>
              <w:t>Automation tools</w:t>
            </w:r>
          </w:p>
        </w:tc>
        <w:tc>
          <w:tcPr>
            <w:tcW w:type="dxa" w:w="2045"/>
            <w:shd w:val="clear" w:fill="E8F5E9"/>
          </w:tcPr>
          <w:p>
            <w:r>
              <w:t>Tech Team</w:t>
            </w:r>
          </w:p>
        </w:tc>
        <w:tc>
          <w:tcPr>
            <w:tcW w:type="dxa" w:w="2045"/>
            <w:shd w:val="clear" w:fill="E8F5E9"/>
          </w:tcPr>
          <w:p>
            <w:r>
              <w:t>Medium</w:t>
            </w:r>
          </w:p>
        </w:tc>
        <w:tc>
          <w:tcPr>
            <w:tcW w:type="dxa" w:w="2045"/>
            <w:shd w:val="clear" w:fill="E8F5E9"/>
          </w:tcPr>
          <w:p>
            <w:r>
              <w:t>2 Months</w:t>
            </w:r>
          </w:p>
        </w:tc>
        <w:tc>
          <w:tcPr>
            <w:tcW w:type="dxa" w:w="2045"/>
            <w:shd w:val="clear" w:fill="E8F5E9"/>
          </w:tcPr>
          <w:p>
            <w:r>
              <w:t>Pending</w:t>
            </w:r>
          </w:p>
        </w:tc>
      </w:tr>
      <w:tr>
        <w:tc>
          <w:tcPr>
            <w:tcW w:type="dxa" w:w="2045"/>
          </w:tcPr>
          <w:p>
            <w:r>
              <w:t>Audit system</w:t>
            </w:r>
          </w:p>
        </w:tc>
        <w:tc>
          <w:tcPr>
            <w:tcW w:type="dxa" w:w="2045"/>
          </w:tcPr>
          <w:p>
            <w:r>
              <w:t>Finance</w:t>
            </w:r>
          </w:p>
        </w:tc>
        <w:tc>
          <w:tcPr>
            <w:tcW w:type="dxa" w:w="2045"/>
          </w:tcPr>
          <w:p>
            <w:r>
              <w:t>Low</w:t>
            </w:r>
          </w:p>
        </w:tc>
        <w:tc>
          <w:tcPr>
            <w:tcW w:type="dxa" w:w="2045"/>
          </w:tcPr>
          <w:p>
            <w:r>
              <w:t>1 Month</w:t>
            </w:r>
          </w:p>
        </w:tc>
        <w:tc>
          <w:tcPr>
            <w:tcW w:type="dxa" w:w="2045"/>
          </w:tcPr>
          <w:p>
            <w:r>
              <w:t>Planned</w:t>
            </w:r>
          </w:p>
        </w:tc>
      </w:tr>
    </w:tbl>
    <w:p>
      <w:pPr>
        <w:pStyle w:val="Heading1"/>
      </w:pPr>
      <w:r>
        <w:t>KPI DASHBOARD</w:t>
      </w:r>
    </w:p>
    <w:tbl>
      <w:tblPr>
        <w:tblW w:type="auto" w:w="0"/>
        <w:tblLook w:firstColumn="1" w:firstRow="1" w:lastColumn="0" w:lastRow="0" w:noHBand="0" w:noVBand="1" w:val="04A0"/>
      </w:tblPr>
      <w:tblGrid>
        <w:gridCol w:w="2556"/>
        <w:gridCol w:w="2556"/>
        <w:gridCol w:w="2556"/>
        <w:gridCol w:w="2556"/>
      </w:tblGrid>
      <w:tr>
        <w:tc>
          <w:tcPr>
            <w:tcW w:type="dxa" w:w="2556"/>
            <w:shd w:val="clear" w:fill="003366"/>
          </w:tcPr>
          <w:p>
            <w:r>
              <w:rPr>
                <w:color w:val="FFFFFF"/>
              </w:rPr>
              <w:t>KPI</w:t>
            </w:r>
          </w:p>
        </w:tc>
        <w:tc>
          <w:tcPr>
            <w:tcW w:type="dxa" w:w="2556"/>
            <w:shd w:val="clear" w:fill="003366"/>
          </w:tcPr>
          <w:p>
            <w:r>
              <w:rPr>
                <w:color w:val="FFFFFF"/>
              </w:rPr>
              <w:t>Current</w:t>
            </w:r>
          </w:p>
        </w:tc>
        <w:tc>
          <w:tcPr>
            <w:tcW w:type="dxa" w:w="2556"/>
            <w:shd w:val="clear" w:fill="003366"/>
          </w:tcPr>
          <w:p>
            <w:r>
              <w:rPr>
                <w:color w:val="FFFFFF"/>
              </w:rPr>
              <w:t>Target</w:t>
            </w:r>
          </w:p>
        </w:tc>
        <w:tc>
          <w:tcPr>
            <w:tcW w:type="dxa" w:w="2556"/>
            <w:shd w:val="clear" w:fill="003366"/>
          </w:tcPr>
          <w:p>
            <w:r>
              <w:rPr>
                <w:color w:val="FFFFFF"/>
              </w:rPr>
              <w:t>Trend</w:t>
            </w:r>
          </w:p>
        </w:tc>
      </w:tr>
      <w:tr>
        <w:tc>
          <w:tcPr>
            <w:tcW w:type="dxa" w:w="2556"/>
          </w:tcPr>
          <w:p>
            <w:r>
              <w:t>Efficiency</w:t>
            </w:r>
          </w:p>
        </w:tc>
        <w:tc>
          <w:tcPr>
            <w:tcW w:type="dxa" w:w="2556"/>
          </w:tcPr>
          <w:p>
            <w:r>
              <w:t>65%</w:t>
            </w:r>
          </w:p>
        </w:tc>
        <w:tc>
          <w:tcPr>
            <w:tcW w:type="dxa" w:w="2556"/>
          </w:tcPr>
          <w:p>
            <w:r>
              <w:t>85%</w:t>
            </w:r>
          </w:p>
        </w:tc>
        <w:tc>
          <w:tcPr>
            <w:tcW w:type="dxa" w:w="2556"/>
          </w:tcPr>
          <w:p>
            <w:r>
              <w:t>↑</w:t>
            </w:r>
          </w:p>
        </w:tc>
      </w:tr>
      <w:tr>
        <w:tc>
          <w:tcPr>
            <w:tcW w:type="dxa" w:w="2556"/>
            <w:shd w:val="clear" w:fill="F2F2F2"/>
          </w:tcPr>
          <w:p>
            <w:r>
              <w:t>Cycle Time</w:t>
            </w:r>
          </w:p>
        </w:tc>
        <w:tc>
          <w:tcPr>
            <w:tcW w:type="dxa" w:w="2556"/>
            <w:shd w:val="clear" w:fill="F2F2F2"/>
          </w:tcPr>
          <w:p>
            <w:r>
              <w:t>12 days</w:t>
            </w:r>
          </w:p>
        </w:tc>
        <w:tc>
          <w:tcPr>
            <w:tcW w:type="dxa" w:w="2556"/>
            <w:shd w:val="clear" w:fill="F2F2F2"/>
          </w:tcPr>
          <w:p>
            <w:r>
              <w:t>8 days</w:t>
            </w:r>
          </w:p>
        </w:tc>
        <w:tc>
          <w:tcPr>
            <w:tcW w:type="dxa" w:w="2556"/>
            <w:shd w:val="clear" w:fill="F2F2F2"/>
          </w:tcPr>
          <w:p>
            <w:r>
              <w:t>↓</w:t>
            </w:r>
          </w:p>
        </w:tc>
      </w:tr>
      <w:tr>
        <w:tc>
          <w:tcPr>
            <w:tcW w:type="dxa" w:w="2556"/>
          </w:tcPr>
          <w:p>
            <w:r>
              <w:t>Error Rate</w:t>
            </w:r>
          </w:p>
        </w:tc>
        <w:tc>
          <w:tcPr>
            <w:tcW w:type="dxa" w:w="2556"/>
          </w:tcPr>
          <w:p>
            <w:r>
              <w:t>8%</w:t>
            </w:r>
          </w:p>
        </w:tc>
        <w:tc>
          <w:tcPr>
            <w:tcW w:type="dxa" w:w="2556"/>
          </w:tcPr>
          <w:p>
            <w:r>
              <w:t>3%</w:t>
            </w:r>
          </w:p>
        </w:tc>
        <w:tc>
          <w:tcPr>
            <w:tcW w:type="dxa" w:w="2556"/>
          </w:tcPr>
          <w:p>
            <w:r>
              <w:t>↓</w:t>
            </w:r>
          </w:p>
        </w:tc>
      </w:tr>
      <w:tr>
        <w:tc>
          <w:tcPr>
            <w:tcW w:type="dxa" w:w="2556"/>
            <w:shd w:val="clear" w:fill="F2F2F2"/>
          </w:tcPr>
          <w:p>
            <w:r>
              <w:t>Productivity</w:t>
            </w:r>
          </w:p>
        </w:tc>
        <w:tc>
          <w:tcPr>
            <w:tcW w:type="dxa" w:w="2556"/>
            <w:shd w:val="clear" w:fill="F2F2F2"/>
          </w:tcPr>
          <w:p>
            <w:r>
              <w:t>70%</w:t>
            </w:r>
          </w:p>
        </w:tc>
        <w:tc>
          <w:tcPr>
            <w:tcW w:type="dxa" w:w="2556"/>
            <w:shd w:val="clear" w:fill="F2F2F2"/>
          </w:tcPr>
          <w:p>
            <w:r>
              <w:t>90%</w:t>
            </w:r>
          </w:p>
        </w:tc>
        <w:tc>
          <w:tcPr>
            <w:tcW w:type="dxa" w:w="2556"/>
            <w:shd w:val="clear" w:fill="F2F2F2"/>
          </w:tcPr>
          <w:p>
            <w:r>
              <w:t>↑</w:t>
            </w:r>
          </w:p>
        </w:tc>
      </w:tr>
      <w:tr>
        <w:tc>
          <w:tcPr>
            <w:tcW w:type="dxa" w:w="2556"/>
          </w:tcPr>
          <w:p>
            <w:r>
              <w:t>Downtime</w:t>
            </w:r>
          </w:p>
        </w:tc>
        <w:tc>
          <w:tcPr>
            <w:tcW w:type="dxa" w:w="2556"/>
          </w:tcPr>
          <w:p>
            <w:r>
              <w:t>15%</w:t>
            </w:r>
          </w:p>
        </w:tc>
        <w:tc>
          <w:tcPr>
            <w:tcW w:type="dxa" w:w="2556"/>
          </w:tcPr>
          <w:p>
            <w:r>
              <w:t>5%</w:t>
            </w:r>
          </w:p>
        </w:tc>
        <w:tc>
          <w:tcPr>
            <w:tcW w:type="dxa" w:w="2556"/>
          </w:tcPr>
          <w:p>
            <w:r>
              <w:t>↓</w:t>
            </w:r>
          </w:p>
        </w:tc>
      </w:tr>
    </w:tbl>
    <w:sectPr w:rsidR="00FC693F" w:rsidRPr="0006063C" w:rsidSect="00034616">
      <w:headerReference w:type="default" r:id="rId9"/>
      <w:footerReference w:type="default" r:id="rId10"/>
      <w:pgSz w:w="12240" w:h="15840"/>
      <w:pgMar w:top="864" w:right="1008" w:bottom="864"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t>Strategy &amp; Operations Advisory | 2026</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r>
      <w:rPr>
        <w:sz w:val="18"/>
      </w:rPr>
      <w:t>Official Mission Report – Confidential</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