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10200"/>
      </w:tblGrid>
      <w:tr>
        <w:tc>
          <w:tcPr>
            <w:tcW w:type="dxa" w:w="9354"/>
            <w:shd w:fill="173F5F"/>
            <w:tcMar>
              <w:top w:w="200" w:type="dxa"/>
              <w:start w:w="180" w:type="dxa"/>
              <w:bottom w:w="200" w:type="dxa"/>
              <w:end w:w="180" w:type="dxa"/>
            </w:tcMar>
          </w:tcPr>
          <w:p>
            <w:pPr>
              <w:jc w:val="center"/>
            </w:pPr>
            <w:r>
              <w:rPr>
                <w:rFonts w:ascii="Aptos" w:hAnsi="Aptos"/>
                <w:b/>
                <w:i w:val="0"/>
                <w:color w:val="FFFFFF"/>
                <w:sz w:val="40"/>
              </w:rPr>
              <w:t>Modèle de note d’intention</w:t>
              <w:br/>
              <w:t>Comédie dans un contexte franco-américain</w:t>
            </w:r>
          </w:p>
        </w:tc>
      </w:tr>
    </w:tbl>
    <w:p>
      <w:pPr>
        <w:spacing w:after="240"/>
        <w:jc w:val="center"/>
      </w:pPr>
      <w:r>
        <w:rPr>
          <w:rFonts w:ascii="Aptos" w:hAnsi="Aptos"/>
          <w:b w:val="0"/>
          <w:i/>
          <w:color w:val="173F5F"/>
          <w:sz w:val="23"/>
        </w:rPr>
        <w:t>Document éditable - structure prête à remplir, repères narratifs, tonalité, personnages et enjeux culturels</w:t>
      </w:r>
    </w:p>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3400"/>
        <w:gridCol w:w="3400"/>
        <w:gridCol w:w="3400"/>
      </w:tblGrid>
      <w:tr>
        <w:tc>
          <w:tcPr>
            <w:tcW w:type="dxa" w:w="2948"/>
            <w:shd w:fill="DCEAF7"/>
            <w:tcMar>
              <w:top w:w="110" w:type="dxa"/>
              <w:start w:w="120" w:type="dxa"/>
              <w:bottom w:w="110" w:type="dxa"/>
              <w:end w:w="120" w:type="dxa"/>
            </w:tcMar>
          </w:tcPr>
          <w:p>
            <w:pPr>
              <w:jc w:val="center"/>
            </w:pPr>
            <w:r>
              <w:rPr>
                <w:rFonts w:ascii="Aptos" w:hAnsi="Aptos"/>
                <w:b/>
                <w:i w:val="0"/>
                <w:color w:val="3C3C3C"/>
                <w:sz w:val="20"/>
              </w:rPr>
              <w:t>Voix d’auteur claire</w:t>
            </w:r>
          </w:p>
        </w:tc>
        <w:tc>
          <w:tcPr>
            <w:tcW w:type="dxa" w:w="2948"/>
            <w:shd w:fill="FCE5CD"/>
            <w:tcMar>
              <w:top w:w="110" w:type="dxa"/>
              <w:start w:w="120" w:type="dxa"/>
              <w:bottom w:w="110" w:type="dxa"/>
              <w:end w:w="120" w:type="dxa"/>
            </w:tcMar>
          </w:tcPr>
          <w:p>
            <w:pPr>
              <w:jc w:val="center"/>
            </w:pPr>
            <w:r>
              <w:rPr>
                <w:rFonts w:ascii="Aptos" w:hAnsi="Aptos"/>
                <w:b/>
                <w:i w:val="0"/>
                <w:color w:val="3C3C3C"/>
                <w:sz w:val="20"/>
              </w:rPr>
              <w:t>Conflit culturel fertile</w:t>
            </w:r>
          </w:p>
        </w:tc>
        <w:tc>
          <w:tcPr>
            <w:tcW w:type="dxa" w:w="2948"/>
            <w:shd w:fill="E2F0D9"/>
            <w:tcMar>
              <w:top w:w="110" w:type="dxa"/>
              <w:start w:w="120" w:type="dxa"/>
              <w:bottom w:w="110" w:type="dxa"/>
              <w:end w:w="120" w:type="dxa"/>
            </w:tcMar>
          </w:tcPr>
          <w:p>
            <w:pPr>
              <w:jc w:val="center"/>
            </w:pPr>
            <w:r>
              <w:rPr>
                <w:rFonts w:ascii="Aptos" w:hAnsi="Aptos"/>
                <w:b/>
                <w:i w:val="0"/>
                <w:color w:val="3C3C3C"/>
                <w:sz w:val="20"/>
              </w:rPr>
              <w:t>Humour de situation et de langage</w:t>
            </w:r>
          </w:p>
        </w:tc>
      </w:tr>
    </w:tbl>
    <w:p/>
    <w:tbl>
      <w:tblPr>
        <w:tblW w:type="auto" w:w="0"/>
        <w:jc w:val="center"/>
        <w:tblLayout w:type="fixed"/>
        <w:tblLook w:firstColumn="1" w:firstRow="1" w:lastColumn="0" w:lastRow="0" w:noHBand="0" w:noVBand="1" w:val="04A0"/>
      </w:tblPr>
      <w:tblGrid>
        <w:gridCol w:w="5100"/>
        <w:gridCol w:w="5100"/>
      </w:tblGrid>
      <w:tr>
        <w:tc>
          <w:tcPr>
            <w:tcW w:type="dxa" w:w="2835"/>
            <w:vAlign w:val="center"/>
            <w:tcMar>
              <w:top w:w="80" w:type="dxa"/>
              <w:start w:w="100" w:type="dxa"/>
              <w:bottom w:w="80" w:type="dxa"/>
              <w:end w:w="100" w:type="dxa"/>
            </w:tcMar>
            <w:shd w:fill="DCEAF7"/>
          </w:tcPr>
          <w:p>
            <w:r>
              <w:rPr>
                <w:rFonts w:ascii="Aptos" w:hAnsi="Aptos"/>
                <w:b/>
                <w:i w:val="0"/>
                <w:color w:val="173F5F"/>
                <w:sz w:val="21"/>
              </w:rPr>
              <w:t>Titre provisoire</w:t>
            </w:r>
          </w:p>
        </w:tc>
        <w:tc>
          <w:tcPr>
            <w:tcW w:type="dxa" w:w="6236"/>
            <w:vAlign w:val="center"/>
            <w:tcMar>
              <w:top w:w="80" w:type="dxa"/>
              <w:start w:w="100" w:type="dxa"/>
              <w:bottom w:w="80" w:type="dxa"/>
              <w:end w:w="100" w:type="dxa"/>
            </w:tcMar>
            <w:shd w:fill="F8FBFE"/>
          </w:tcPr>
          <w:p>
            <w:r>
              <w:rPr>
                <w:rFonts w:ascii="Aptos" w:hAnsi="Aptos"/>
                <w:b w:val="0"/>
                <w:i/>
                <w:color w:val="464646"/>
                <w:sz w:val="21"/>
              </w:rPr>
              <w:t>..............................................................</w:t>
            </w:r>
          </w:p>
        </w:tc>
      </w:tr>
      <w:tr>
        <w:tc>
          <w:tcPr>
            <w:tcW w:type="dxa" w:w="2835"/>
            <w:vAlign w:val="center"/>
            <w:tcMar>
              <w:top w:w="80" w:type="dxa"/>
              <w:start w:w="100" w:type="dxa"/>
              <w:bottom w:w="80" w:type="dxa"/>
              <w:end w:w="100" w:type="dxa"/>
            </w:tcMar>
            <w:shd w:fill="DCEAF7"/>
          </w:tcPr>
          <w:p>
            <w:r>
              <w:rPr>
                <w:rFonts w:ascii="Aptos" w:hAnsi="Aptos"/>
                <w:b/>
                <w:i w:val="0"/>
                <w:color w:val="173F5F"/>
                <w:sz w:val="21"/>
              </w:rPr>
              <w:t>Genre / ton</w:t>
            </w:r>
          </w:p>
        </w:tc>
        <w:tc>
          <w:tcPr>
            <w:tcW w:type="dxa" w:w="6236"/>
            <w:vAlign w:val="center"/>
            <w:tcMar>
              <w:top w:w="80" w:type="dxa"/>
              <w:start w:w="100" w:type="dxa"/>
              <w:bottom w:w="80" w:type="dxa"/>
              <w:end w:w="100" w:type="dxa"/>
            </w:tcMar>
            <w:shd w:fill="F8FBFE"/>
          </w:tcPr>
          <w:p>
            <w:r>
              <w:rPr>
                <w:rFonts w:ascii="Aptos" w:hAnsi="Aptos"/>
                <w:b w:val="0"/>
                <w:i w:val="0"/>
                <w:color w:val="464646"/>
                <w:sz w:val="21"/>
              </w:rPr>
              <w:t>Comédie de mœurs, satire sociale, feel-good, dramedy, etc.</w:t>
            </w:r>
          </w:p>
        </w:tc>
      </w:tr>
      <w:tr>
        <w:tc>
          <w:tcPr>
            <w:tcW w:type="dxa" w:w="2835"/>
            <w:vAlign w:val="center"/>
            <w:tcMar>
              <w:top w:w="80" w:type="dxa"/>
              <w:start w:w="100" w:type="dxa"/>
              <w:bottom w:w="80" w:type="dxa"/>
              <w:end w:w="100" w:type="dxa"/>
            </w:tcMar>
            <w:shd w:fill="DCEAF7"/>
          </w:tcPr>
          <w:p>
            <w:r>
              <w:rPr>
                <w:rFonts w:ascii="Aptos" w:hAnsi="Aptos"/>
                <w:b/>
                <w:i w:val="0"/>
                <w:color w:val="173F5F"/>
                <w:sz w:val="21"/>
              </w:rPr>
              <w:t>Format</w:t>
            </w:r>
          </w:p>
        </w:tc>
        <w:tc>
          <w:tcPr>
            <w:tcW w:type="dxa" w:w="6236"/>
            <w:vAlign w:val="center"/>
            <w:tcMar>
              <w:top w:w="80" w:type="dxa"/>
              <w:start w:w="100" w:type="dxa"/>
              <w:bottom w:w="80" w:type="dxa"/>
              <w:end w:w="100" w:type="dxa"/>
            </w:tcMar>
            <w:shd w:fill="F8FBFE"/>
          </w:tcPr>
          <w:p>
            <w:r>
              <w:rPr>
                <w:rFonts w:ascii="Aptos" w:hAnsi="Aptos"/>
                <w:b w:val="0"/>
                <w:i w:val="0"/>
                <w:color w:val="464646"/>
                <w:sz w:val="21"/>
              </w:rPr>
              <w:t>Long métrage / série / court métrage / spectacle</w:t>
            </w:r>
          </w:p>
        </w:tc>
      </w:tr>
      <w:tr>
        <w:tc>
          <w:tcPr>
            <w:tcW w:type="dxa" w:w="2835"/>
            <w:vAlign w:val="center"/>
            <w:tcMar>
              <w:top w:w="80" w:type="dxa"/>
              <w:start w:w="100" w:type="dxa"/>
              <w:bottom w:w="80" w:type="dxa"/>
              <w:end w:w="100" w:type="dxa"/>
            </w:tcMar>
            <w:shd w:fill="DCEAF7"/>
          </w:tcPr>
          <w:p>
            <w:r>
              <w:rPr>
                <w:rFonts w:ascii="Aptos" w:hAnsi="Aptos"/>
                <w:b/>
                <w:i w:val="0"/>
                <w:color w:val="173F5F"/>
                <w:sz w:val="21"/>
              </w:rPr>
              <w:t>Auteur·rice / contact</w:t>
            </w:r>
          </w:p>
        </w:tc>
        <w:tc>
          <w:tcPr>
            <w:tcW w:type="dxa" w:w="6236"/>
            <w:vAlign w:val="center"/>
            <w:tcMar>
              <w:top w:w="80" w:type="dxa"/>
              <w:start w:w="100" w:type="dxa"/>
              <w:bottom w:w="80" w:type="dxa"/>
              <w:end w:w="100" w:type="dxa"/>
            </w:tcMar>
            <w:shd w:fill="F8FBFE"/>
          </w:tcPr>
          <w:p>
            <w:r>
              <w:rPr>
                <w:rFonts w:ascii="Aptos" w:hAnsi="Aptos"/>
                <w:b w:val="0"/>
                <w:i/>
                <w:color w:val="464646"/>
                <w:sz w:val="21"/>
              </w:rPr>
              <w:t>..............................................................</w:t>
            </w:r>
          </w:p>
        </w:tc>
      </w:tr>
    </w:tbl>
    <w:p/>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10200"/>
      </w:tblGrid>
      <w:tr>
        <w:tc>
          <w:tcPr>
            <w:tcW w:type="dxa" w:w="9184"/>
            <w:vAlign w:val="center"/>
            <w:tcMar>
              <w:top w:w="100" w:type="dxa"/>
              <w:start w:w="120" w:type="dxa"/>
              <w:bottom w:w="100" w:type="dxa"/>
              <w:end w:w="120" w:type="dxa"/>
            </w:tcMar>
            <w:shd w:fill="F4B183"/>
          </w:tcPr>
          <w:p>
            <w:r>
              <w:rPr>
                <w:rFonts w:ascii="Aptos" w:hAnsi="Aptos"/>
                <w:b/>
                <w:i w:val="0"/>
                <w:color w:val="FFFFFF"/>
                <w:sz w:val="23"/>
              </w:rPr>
              <w:t>Mode d’emploi rapide</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Cette note d’intention sert à faire percevoir une vision. Elle présente le cœur comique du projet, la singularité du regard, l’univers, les personnages, la dynamique franco-américaine et la promesse de mise en scène.</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Le ton peut rester personnel, incarné et fluide. Une note forte évite le résumé scolaire. Elle exprime une façon de voir, de raconter et de faire entendre un monde.</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Les zones pointillées peuvent être remplacées par votre texte. Les tableaux servent d’appui pour structurer les idées avant la rédaction finale.</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1. Accroche d’intention</w:t>
            </w:r>
          </w:p>
        </w:tc>
      </w:tr>
    </w:tbl>
    <w:p>
      <w:pPr>
        <w:spacing w:after="40"/>
      </w:pPr>
    </w:p>
    <w:p>
      <w:pPr>
        <w:spacing w:after="160"/>
      </w:pPr>
      <w:r>
        <w:rPr>
          <w:rFonts w:ascii="Aptos" w:hAnsi="Aptos"/>
          <w:b/>
          <w:i w:val="0"/>
          <w:color w:val="373737"/>
          <w:sz w:val="21"/>
        </w:rPr>
        <w:t xml:space="preserve">Idée directrice : </w:t>
      </w:r>
      <w:r>
        <w:rPr>
          <w:rFonts w:ascii="Aptos" w:hAnsi="Aptos"/>
          <w:b w:val="0"/>
          <w:i w:val="0"/>
          <w:color w:val="373737"/>
          <w:sz w:val="21"/>
        </w:rPr>
        <w:t xml:space="preserve">en quelques lignes, préciser ce qui rend cette comédie nécessaire aujourd’hui. </w:t>
      </w:r>
      <w:r>
        <w:rPr>
          <w:rFonts w:ascii="Aptos" w:hAnsi="Aptos"/>
          <w:b/>
          <w:i w:val="0"/>
          <w:color w:val="373737"/>
          <w:sz w:val="21"/>
        </w:rPr>
        <w:t xml:space="preserve">Exemple de point d’appui : </w:t>
      </w:r>
      <w:r>
        <w:rPr>
          <w:rFonts w:ascii="Aptos" w:hAnsi="Aptos"/>
          <w:b w:val="0"/>
          <w:i w:val="0"/>
          <w:color w:val="373737"/>
          <w:sz w:val="21"/>
        </w:rPr>
        <w:t>la rencontre entre deux imaginaires du quotidien - celui de la France et celui des États-Unis - fait naître des malentendus, des désirs d’adaptation, des chocs de rythme et une matière comique immédiatement vivante.</w:t>
      </w:r>
    </w:p>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10200"/>
      </w:tblGrid>
      <w:tr>
        <w:tc>
          <w:tcPr>
            <w:tcW w:type="dxa" w:w="9184"/>
            <w:vAlign w:val="center"/>
            <w:tcMar>
              <w:top w:w="100" w:type="dxa"/>
              <w:start w:w="120" w:type="dxa"/>
              <w:bottom w:w="100" w:type="dxa"/>
              <w:end w:w="120" w:type="dxa"/>
            </w:tcMar>
            <w:shd w:fill="F4B183"/>
          </w:tcPr>
          <w:p>
            <w:r>
              <w:rPr>
                <w:rFonts w:ascii="Aptos" w:hAnsi="Aptos"/>
                <w:b/>
                <w:i w:val="0"/>
                <w:color w:val="FFFFFF"/>
                <w:sz w:val="23"/>
              </w:rPr>
              <w:t>Zone de rédaction</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2. Positionnement du projet</w:t>
            </w:r>
          </w:p>
        </w:tc>
      </w:tr>
    </w:tbl>
    <w:p>
      <w:pPr>
        <w:spacing w:after="40"/>
      </w:pPr>
    </w:p>
    <w:tbl>
      <w:tblPr>
        <w:tblW w:type="auto" w:w="0"/>
        <w:jc w:val="center"/>
        <w:tblLayout w:type="fixed"/>
        <w:tblLook w:firstColumn="1" w:firstRow="1" w:lastColumn="0" w:lastRow="0" w:noHBand="0" w:noVBand="1" w:val="04A0"/>
      </w:tblPr>
      <w:tblGrid>
        <w:gridCol w:w="5100"/>
        <w:gridCol w:w="5100"/>
      </w:tblGrid>
      <w:tr>
        <w:tc>
          <w:tcPr>
            <w:tcW w:type="dxa" w:w="3118"/>
            <w:vAlign w:val="center"/>
            <w:tcMar>
              <w:top w:w="80" w:type="dxa"/>
              <w:start w:w="100" w:type="dxa"/>
              <w:bottom w:w="80" w:type="dxa"/>
              <w:end w:w="100" w:type="dxa"/>
            </w:tcMar>
            <w:shd w:fill="6AA84F"/>
          </w:tcPr>
          <w:p>
            <w:r>
              <w:rPr>
                <w:rFonts w:ascii="Aptos" w:hAnsi="Aptos"/>
                <w:b/>
                <w:i w:val="0"/>
                <w:color w:val="FFFFFF"/>
                <w:sz w:val="21"/>
              </w:rPr>
              <w:t>Élément</w:t>
            </w:r>
          </w:p>
        </w:tc>
        <w:tc>
          <w:tcPr>
            <w:tcW w:type="dxa" w:w="6066"/>
            <w:vAlign w:val="center"/>
            <w:tcMar>
              <w:top w:w="80" w:type="dxa"/>
              <w:start w:w="100" w:type="dxa"/>
              <w:bottom w:w="80" w:type="dxa"/>
              <w:end w:w="100" w:type="dxa"/>
            </w:tcMar>
            <w:shd w:fill="6AA84F"/>
          </w:tcPr>
          <w:p>
            <w:r>
              <w:rPr>
                <w:rFonts w:ascii="Aptos" w:hAnsi="Aptos"/>
                <w:b/>
                <w:i w:val="0"/>
                <w:color w:val="FFFFFF"/>
                <w:sz w:val="21"/>
              </w:rPr>
              <w:t>À préciser</w:t>
            </w:r>
          </w:p>
        </w:tc>
      </w:tr>
      <w:tr>
        <w:tc>
          <w:tcPr>
            <w:tcW w:type="dxa" w:w="3118"/>
            <w:vAlign w:val="center"/>
            <w:tcMar>
              <w:top w:w="80" w:type="dxa"/>
              <w:start w:w="100" w:type="dxa"/>
              <w:bottom w:w="80" w:type="dxa"/>
              <w:end w:w="100" w:type="dxa"/>
            </w:tcMar>
            <w:shd w:fill="EAF3E2"/>
          </w:tcPr>
          <w:p>
            <w:r>
              <w:rPr>
                <w:rFonts w:ascii="Aptos" w:hAnsi="Aptos"/>
                <w:b/>
                <w:i w:val="0"/>
                <w:color w:val="2D5222"/>
                <w:sz w:val="20"/>
              </w:rPr>
              <w:t>Cadre franco-américain</w:t>
            </w:r>
          </w:p>
        </w:tc>
        <w:tc>
          <w:tcPr>
            <w:tcW w:type="dxa" w:w="6066"/>
            <w:vAlign w:val="center"/>
            <w:tcMar>
              <w:top w:w="80" w:type="dxa"/>
              <w:start w:w="100" w:type="dxa"/>
              <w:bottom w:w="80" w:type="dxa"/>
              <w:end w:w="100" w:type="dxa"/>
            </w:tcMar>
            <w:shd w:fill="F7FBF3"/>
          </w:tcPr>
          <w:p>
            <w:r>
              <w:rPr>
                <w:rFonts w:ascii="Aptos" w:hAnsi="Aptos"/>
                <w:b w:val="0"/>
                <w:i w:val="0"/>
                <w:color w:val="373737"/>
                <w:sz w:val="20"/>
              </w:rPr>
              <w:t>Ville, période, milieu social, espaces de circulation entre les deux cultures, usages de langue, écarts de codes et de références.</w:t>
            </w:r>
          </w:p>
        </w:tc>
      </w:tr>
      <w:tr>
        <w:tc>
          <w:tcPr>
            <w:tcW w:type="dxa" w:w="3118"/>
            <w:vAlign w:val="center"/>
            <w:tcMar>
              <w:top w:w="80" w:type="dxa"/>
              <w:start w:w="100" w:type="dxa"/>
              <w:bottom w:w="80" w:type="dxa"/>
              <w:end w:w="100" w:type="dxa"/>
            </w:tcMar>
            <w:shd w:fill="EAF3E2"/>
          </w:tcPr>
          <w:p>
            <w:r>
              <w:rPr>
                <w:rFonts w:ascii="Aptos" w:hAnsi="Aptos"/>
                <w:b/>
                <w:i w:val="0"/>
                <w:color w:val="2D5222"/>
                <w:sz w:val="20"/>
              </w:rPr>
              <w:t>Source du comique</w:t>
            </w:r>
          </w:p>
        </w:tc>
        <w:tc>
          <w:tcPr>
            <w:tcW w:type="dxa" w:w="6066"/>
            <w:vAlign w:val="center"/>
            <w:tcMar>
              <w:top w:w="80" w:type="dxa"/>
              <w:start w:w="100" w:type="dxa"/>
              <w:bottom w:w="80" w:type="dxa"/>
              <w:end w:w="100" w:type="dxa"/>
            </w:tcMar>
            <w:shd w:fill="F7FBF3"/>
          </w:tcPr>
          <w:p>
            <w:r>
              <w:rPr>
                <w:rFonts w:ascii="Aptos" w:hAnsi="Aptos"/>
                <w:b w:val="0"/>
                <w:i w:val="0"/>
                <w:color w:val="373737"/>
                <w:sz w:val="20"/>
              </w:rPr>
              <w:t>Déplacement culturel, quiproquos, politesse, ambition, amour, famille, travail, administration, accent, traduction, image de soi.</w:t>
            </w:r>
          </w:p>
        </w:tc>
      </w:tr>
      <w:tr>
        <w:tc>
          <w:tcPr>
            <w:tcW w:type="dxa" w:w="3118"/>
            <w:vAlign w:val="center"/>
            <w:tcMar>
              <w:top w:w="80" w:type="dxa"/>
              <w:start w:w="100" w:type="dxa"/>
              <w:bottom w:w="80" w:type="dxa"/>
              <w:end w:w="100" w:type="dxa"/>
            </w:tcMar>
            <w:shd w:fill="EAF3E2"/>
          </w:tcPr>
          <w:p>
            <w:r>
              <w:rPr>
                <w:rFonts w:ascii="Aptos" w:hAnsi="Aptos"/>
                <w:b/>
                <w:i w:val="0"/>
                <w:color w:val="2D5222"/>
                <w:sz w:val="20"/>
              </w:rPr>
              <w:t>Registre dominant</w:t>
            </w:r>
          </w:p>
        </w:tc>
        <w:tc>
          <w:tcPr>
            <w:tcW w:type="dxa" w:w="6066"/>
            <w:vAlign w:val="center"/>
            <w:tcMar>
              <w:top w:w="80" w:type="dxa"/>
              <w:start w:w="100" w:type="dxa"/>
              <w:bottom w:w="80" w:type="dxa"/>
              <w:end w:w="100" w:type="dxa"/>
            </w:tcMar>
            <w:shd w:fill="F7FBF3"/>
          </w:tcPr>
          <w:p>
            <w:r>
              <w:rPr>
                <w:rFonts w:ascii="Aptos" w:hAnsi="Aptos"/>
                <w:b w:val="0"/>
                <w:i w:val="0"/>
                <w:color w:val="373737"/>
                <w:sz w:val="20"/>
              </w:rPr>
              <w:t>Comédie romantique, satire, comédie familiale, chronique sociale, buddy comedy, comédie de choc culturel.</w:t>
            </w:r>
          </w:p>
        </w:tc>
      </w:tr>
      <w:tr>
        <w:tc>
          <w:tcPr>
            <w:tcW w:type="dxa" w:w="3118"/>
            <w:vAlign w:val="center"/>
            <w:tcMar>
              <w:top w:w="80" w:type="dxa"/>
              <w:start w:w="100" w:type="dxa"/>
              <w:bottom w:w="80" w:type="dxa"/>
              <w:end w:w="100" w:type="dxa"/>
            </w:tcMar>
            <w:shd w:fill="EAF3E2"/>
          </w:tcPr>
          <w:p>
            <w:r>
              <w:rPr>
                <w:rFonts w:ascii="Aptos" w:hAnsi="Aptos"/>
                <w:b/>
                <w:i w:val="0"/>
                <w:color w:val="2D5222"/>
                <w:sz w:val="20"/>
              </w:rPr>
              <w:t>Public visé</w:t>
            </w:r>
          </w:p>
        </w:tc>
        <w:tc>
          <w:tcPr>
            <w:tcW w:type="dxa" w:w="6066"/>
            <w:vAlign w:val="center"/>
            <w:tcMar>
              <w:top w:w="80" w:type="dxa"/>
              <w:start w:w="100" w:type="dxa"/>
              <w:bottom w:w="80" w:type="dxa"/>
              <w:end w:w="100" w:type="dxa"/>
            </w:tcMar>
            <w:shd w:fill="F7FBF3"/>
          </w:tcPr>
          <w:p>
            <w:r>
              <w:rPr>
                <w:rFonts w:ascii="Aptos" w:hAnsi="Aptos"/>
                <w:b w:val="0"/>
                <w:i w:val="0"/>
                <w:color w:val="373737"/>
                <w:sz w:val="20"/>
              </w:rPr>
              <w:t>Festival, diffuseur, producteur, lecture de commission, atelier d’écriture, présentation d’école ou dossier d’appel à projets.</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3. Personnages et dynamique comique</w:t>
            </w:r>
          </w:p>
        </w:tc>
      </w:tr>
    </w:tbl>
    <w:p>
      <w:pPr>
        <w:spacing w:after="40"/>
      </w:pPr>
    </w:p>
    <w:tbl>
      <w:tblPr>
        <w:tblW w:type="auto" w:w="0"/>
        <w:jc w:val="center"/>
        <w:tblLayout w:type="fixed"/>
        <w:tblLook w:firstColumn="1" w:firstRow="1" w:lastColumn="0" w:lastRow="0" w:noHBand="0" w:noVBand="1" w:val="04A0"/>
      </w:tblPr>
      <w:tblGrid>
        <w:gridCol w:w="5100"/>
        <w:gridCol w:w="5100"/>
      </w:tblGrid>
      <w:tr>
        <w:tc>
          <w:tcPr>
            <w:tcW w:type="dxa" w:w="3118"/>
            <w:vAlign w:val="center"/>
            <w:tcMar>
              <w:top w:w="80" w:type="dxa"/>
              <w:start w:w="100" w:type="dxa"/>
              <w:bottom w:w="80" w:type="dxa"/>
              <w:end w:w="100" w:type="dxa"/>
            </w:tcMar>
            <w:shd w:fill="6AA84F"/>
          </w:tcPr>
          <w:p>
            <w:r>
              <w:rPr>
                <w:rFonts w:ascii="Aptos" w:hAnsi="Aptos"/>
                <w:b/>
                <w:i w:val="0"/>
                <w:color w:val="FFFFFF"/>
                <w:sz w:val="21"/>
              </w:rPr>
              <w:t>Repère</w:t>
            </w:r>
          </w:p>
        </w:tc>
        <w:tc>
          <w:tcPr>
            <w:tcW w:type="dxa" w:w="6066"/>
            <w:vAlign w:val="center"/>
            <w:tcMar>
              <w:top w:w="80" w:type="dxa"/>
              <w:start w:w="100" w:type="dxa"/>
              <w:bottom w:w="80" w:type="dxa"/>
              <w:end w:w="100" w:type="dxa"/>
            </w:tcMar>
            <w:shd w:fill="6AA84F"/>
          </w:tcPr>
          <w:p>
            <w:r>
              <w:rPr>
                <w:rFonts w:ascii="Aptos" w:hAnsi="Aptos"/>
                <w:b/>
                <w:i w:val="0"/>
                <w:color w:val="FFFFFF"/>
                <w:sz w:val="21"/>
              </w:rPr>
              <w:t>Questions utiles</w:t>
            </w:r>
          </w:p>
        </w:tc>
      </w:tr>
      <w:tr>
        <w:tc>
          <w:tcPr>
            <w:tcW w:type="dxa" w:w="3118"/>
            <w:vAlign w:val="center"/>
            <w:tcMar>
              <w:top w:w="80" w:type="dxa"/>
              <w:start w:w="100" w:type="dxa"/>
              <w:bottom w:w="80" w:type="dxa"/>
              <w:end w:w="100" w:type="dxa"/>
            </w:tcMar>
            <w:shd w:fill="FFF2E5"/>
          </w:tcPr>
          <w:p>
            <w:r>
              <w:rPr>
                <w:rFonts w:ascii="Aptos" w:hAnsi="Aptos"/>
                <w:b/>
                <w:i w:val="0"/>
                <w:color w:val="2D5222"/>
                <w:sz w:val="20"/>
              </w:rPr>
              <w:t>Protagoniste</w:t>
            </w:r>
          </w:p>
        </w:tc>
        <w:tc>
          <w:tcPr>
            <w:tcW w:type="dxa" w:w="6066"/>
            <w:vAlign w:val="center"/>
            <w:tcMar>
              <w:top w:w="80" w:type="dxa"/>
              <w:start w:w="100" w:type="dxa"/>
              <w:bottom w:w="80" w:type="dxa"/>
              <w:end w:w="100" w:type="dxa"/>
            </w:tcMar>
            <w:shd w:fill="FFF9F2"/>
          </w:tcPr>
          <w:p>
            <w:r>
              <w:rPr>
                <w:rFonts w:ascii="Aptos" w:hAnsi="Aptos"/>
                <w:b w:val="0"/>
                <w:i w:val="0"/>
                <w:color w:val="373737"/>
                <w:sz w:val="20"/>
              </w:rPr>
              <w:t>Que cherche-t-il ou cherche-t-elle à obtenir dans ce monde biculturel ? Pourquoi cette quête prête-t-elle à rire et à s’émouvoir ?</w:t>
            </w:r>
          </w:p>
        </w:tc>
      </w:tr>
      <w:tr>
        <w:tc>
          <w:tcPr>
            <w:tcW w:type="dxa" w:w="3118"/>
            <w:vAlign w:val="center"/>
            <w:tcMar>
              <w:top w:w="80" w:type="dxa"/>
              <w:start w:w="100" w:type="dxa"/>
              <w:bottom w:w="80" w:type="dxa"/>
              <w:end w:w="100" w:type="dxa"/>
            </w:tcMar>
            <w:shd w:fill="FFF2E5"/>
          </w:tcPr>
          <w:p>
            <w:r>
              <w:rPr>
                <w:rFonts w:ascii="Aptos" w:hAnsi="Aptos"/>
                <w:b/>
                <w:i w:val="0"/>
                <w:color w:val="2D5222"/>
                <w:sz w:val="20"/>
              </w:rPr>
              <w:t>Contrepoint américain</w:t>
            </w:r>
          </w:p>
        </w:tc>
        <w:tc>
          <w:tcPr>
            <w:tcW w:type="dxa" w:w="6066"/>
            <w:vAlign w:val="center"/>
            <w:tcMar>
              <w:top w:w="80" w:type="dxa"/>
              <w:start w:w="100" w:type="dxa"/>
              <w:bottom w:w="80" w:type="dxa"/>
              <w:end w:w="100" w:type="dxa"/>
            </w:tcMar>
            <w:shd w:fill="FFF9F2"/>
          </w:tcPr>
          <w:p>
            <w:r>
              <w:rPr>
                <w:rFonts w:ascii="Aptos" w:hAnsi="Aptos"/>
                <w:b w:val="0"/>
                <w:i w:val="0"/>
                <w:color w:val="373737"/>
                <w:sz w:val="20"/>
              </w:rPr>
              <w:t>Incarnation d’une autre logique, d’un autre tempo, d’une autre façon de dire ou de décider.</w:t>
            </w:r>
          </w:p>
        </w:tc>
      </w:tr>
      <w:tr>
        <w:tc>
          <w:tcPr>
            <w:tcW w:type="dxa" w:w="3118"/>
            <w:vAlign w:val="center"/>
            <w:tcMar>
              <w:top w:w="80" w:type="dxa"/>
              <w:start w:w="100" w:type="dxa"/>
              <w:bottom w:w="80" w:type="dxa"/>
              <w:end w:w="100" w:type="dxa"/>
            </w:tcMar>
            <w:shd w:fill="FFF2E5"/>
          </w:tcPr>
          <w:p>
            <w:r>
              <w:rPr>
                <w:rFonts w:ascii="Aptos" w:hAnsi="Aptos"/>
                <w:b/>
                <w:i w:val="0"/>
                <w:color w:val="2D5222"/>
                <w:sz w:val="20"/>
              </w:rPr>
              <w:t>Contrepoint français</w:t>
            </w:r>
          </w:p>
        </w:tc>
        <w:tc>
          <w:tcPr>
            <w:tcW w:type="dxa" w:w="6066"/>
            <w:vAlign w:val="center"/>
            <w:tcMar>
              <w:top w:w="80" w:type="dxa"/>
              <w:start w:w="100" w:type="dxa"/>
              <w:bottom w:w="80" w:type="dxa"/>
              <w:end w:w="100" w:type="dxa"/>
            </w:tcMar>
            <w:shd w:fill="FFF9F2"/>
          </w:tcPr>
          <w:p>
            <w:r>
              <w:rPr>
                <w:rFonts w:ascii="Aptos" w:hAnsi="Aptos"/>
                <w:b w:val="0"/>
                <w:i w:val="0"/>
                <w:color w:val="373737"/>
                <w:sz w:val="20"/>
              </w:rPr>
              <w:t>Rapport à l’élégance, à l’ironie, au sous-entendu et à l’art du décalage.</w:t>
            </w:r>
          </w:p>
        </w:tc>
      </w:tr>
      <w:tr>
        <w:tc>
          <w:tcPr>
            <w:tcW w:type="dxa" w:w="3118"/>
            <w:vAlign w:val="center"/>
            <w:tcMar>
              <w:top w:w="80" w:type="dxa"/>
              <w:start w:w="100" w:type="dxa"/>
              <w:bottom w:w="80" w:type="dxa"/>
              <w:end w:w="100" w:type="dxa"/>
            </w:tcMar>
            <w:shd w:fill="FFF2E5"/>
          </w:tcPr>
          <w:p>
            <w:r>
              <w:rPr>
                <w:rFonts w:ascii="Aptos" w:hAnsi="Aptos"/>
                <w:b/>
                <w:i w:val="0"/>
                <w:color w:val="2D5222"/>
                <w:sz w:val="20"/>
              </w:rPr>
              <w:t>Étincelles de scène</w:t>
            </w:r>
          </w:p>
        </w:tc>
        <w:tc>
          <w:tcPr>
            <w:tcW w:type="dxa" w:w="6066"/>
            <w:vAlign w:val="center"/>
            <w:tcMar>
              <w:top w:w="80" w:type="dxa"/>
              <w:start w:w="100" w:type="dxa"/>
              <w:bottom w:w="80" w:type="dxa"/>
              <w:end w:w="100" w:type="dxa"/>
            </w:tcMar>
            <w:shd w:fill="FFF9F2"/>
          </w:tcPr>
          <w:p>
            <w:r>
              <w:rPr>
                <w:rFonts w:ascii="Aptos" w:hAnsi="Aptos"/>
                <w:b w:val="0"/>
                <w:i w:val="0"/>
                <w:color w:val="373737"/>
                <w:sz w:val="20"/>
              </w:rPr>
              <w:t>Malentendus linguistiques, implicite, travail, flirt, service, échec et réussite.</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4. Proposition de rédaction guidée</w:t>
            </w:r>
          </w:p>
        </w:tc>
      </w:tr>
    </w:tbl>
    <w:p>
      <w:pPr>
        <w:spacing w:after="40"/>
      </w:pPr>
    </w:p>
    <w:p>
      <w:pPr>
        <w:spacing w:after="100"/>
      </w:pPr>
      <w:r>
        <w:rPr>
          <w:rFonts w:ascii="Aptos" w:hAnsi="Aptos"/>
          <w:b/>
          <w:i w:val="0"/>
          <w:color w:val="173F5F"/>
          <w:sz w:val="21"/>
        </w:rPr>
        <w:t xml:space="preserve">Paragraphe 1 - La raison profonde du projet : </w:t>
      </w:r>
      <w:r>
        <w:rPr>
          <w:rFonts w:ascii="Aptos" w:hAnsi="Aptos"/>
          <w:b w:val="0"/>
          <w:i w:val="0"/>
          <w:color w:val="414141"/>
          <w:sz w:val="21"/>
        </w:rPr>
        <w:t>Je souhaite écrire cette comédie pour explorer la manière dont deux cultures apparemment proches produisent, dans l’intime, des écarts de perception puissants. Le rire surgit ici de la collision entre les habitudes, les formules, les attentes sentimentales et les rituels sociaux.</w:t>
      </w:r>
    </w:p>
    <w:p>
      <w:pPr>
        <w:spacing w:after="100"/>
      </w:pPr>
      <w:r>
        <w:rPr>
          <w:rFonts w:ascii="Aptos" w:hAnsi="Aptos"/>
          <w:b/>
          <w:i w:val="0"/>
          <w:color w:val="173F5F"/>
          <w:sz w:val="21"/>
        </w:rPr>
        <w:t xml:space="preserve">Paragraphe 2 - Le regard d’auteur : </w:t>
      </w:r>
      <w:r>
        <w:rPr>
          <w:rFonts w:ascii="Aptos" w:hAnsi="Aptos"/>
          <w:b w:val="0"/>
          <w:i w:val="0"/>
          <w:color w:val="414141"/>
          <w:sz w:val="21"/>
        </w:rPr>
        <w:t>Mon intention reste de faire entendre une comédie vive, élégante et sensible, où le choc franco-américain nourrit autant la situation que le langage. L’objectif n’est pas de caricaturer, mais de révéler ce que chacun projette sur l’autre.</w:t>
      </w:r>
    </w:p>
    <w:p>
      <w:pPr>
        <w:spacing w:after="100"/>
      </w:pPr>
      <w:r>
        <w:rPr>
          <w:rFonts w:ascii="Aptos" w:hAnsi="Aptos"/>
          <w:b/>
          <w:i w:val="0"/>
          <w:color w:val="173F5F"/>
          <w:sz w:val="21"/>
        </w:rPr>
        <w:t xml:space="preserve">Paragraphe 3 - La promesse de mise en scène : </w:t>
      </w:r>
      <w:r>
        <w:rPr>
          <w:rFonts w:ascii="Aptos" w:hAnsi="Aptos"/>
          <w:b w:val="0"/>
          <w:i w:val="0"/>
          <w:color w:val="414141"/>
          <w:sz w:val="21"/>
        </w:rPr>
        <w:t>Le rythme pourra alterner scènes rapides, dialogues à double sens, silences embarrassés, déplacements chorégraphiés dans des lieux du quotidien et retournements affectifs qui prolongent le rire sans casser l’émotion.</w:t>
      </w:r>
    </w:p>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10200"/>
      </w:tblGrid>
      <w:tr>
        <w:tc>
          <w:tcPr>
            <w:tcW w:type="dxa" w:w="9184"/>
            <w:vAlign w:val="center"/>
            <w:tcMar>
              <w:top w:w="100" w:type="dxa"/>
              <w:start w:w="120" w:type="dxa"/>
              <w:bottom w:w="100" w:type="dxa"/>
              <w:end w:w="120" w:type="dxa"/>
            </w:tcMar>
            <w:shd w:fill="F4B183"/>
          </w:tcPr>
          <w:p>
            <w:r>
              <w:rPr>
                <w:rFonts w:ascii="Aptos" w:hAnsi="Aptos"/>
                <w:b/>
                <w:i w:val="0"/>
                <w:color w:val="FFFFFF"/>
                <w:sz w:val="23"/>
              </w:rPr>
              <w:t>Votre version à personnaliser</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5. Axes franco-américains à mobiliser</w:t>
            </w:r>
          </w:p>
        </w:tc>
      </w:tr>
    </w:tbl>
    <w:p>
      <w:pPr>
        <w:spacing w:after="40"/>
      </w:pPr>
    </w:p>
    <w:tbl>
      <w:tblPr>
        <w:tblW w:type="auto" w:w="0"/>
        <w:jc w:val="center"/>
        <w:tblLayout w:type="fixed"/>
        <w:tblLook w:firstColumn="1" w:firstRow="1" w:lastColumn="0" w:lastRow="0" w:noHBand="0" w:noVBand="1" w:val="04A0"/>
      </w:tblPr>
      <w:tblGrid>
        <w:gridCol w:w="3400"/>
        <w:gridCol w:w="3400"/>
        <w:gridCol w:w="3400"/>
      </w:tblGrid>
      <w:tr>
        <w:tc>
          <w:tcPr>
            <w:tcW w:type="dxa" w:w="510"/>
            <w:vAlign w:val="center"/>
            <w:tcMar>
              <w:top w:w="85" w:type="dxa"/>
              <w:start w:w="100" w:type="dxa"/>
              <w:bottom w:w="85" w:type="dxa"/>
              <w:end w:w="100" w:type="dxa"/>
            </w:tcMar>
            <w:shd w:fill="8E7CC3"/>
          </w:tcPr>
          <w:p>
            <w:pPr>
              <w:jc w:val="center"/>
            </w:pPr>
            <w:r>
              <w:rPr>
                <w:rFonts w:ascii="Aptos" w:hAnsi="Aptos"/>
                <w:b/>
                <w:i w:val="0"/>
                <w:color w:val="FFFFFF"/>
                <w:sz w:val="21"/>
              </w:rPr>
              <w:t>□</w:t>
            </w:r>
          </w:p>
        </w:tc>
        <w:tc>
          <w:tcPr>
            <w:tcW w:type="dxa" w:w="4252"/>
            <w:vAlign w:val="center"/>
            <w:tcMar>
              <w:top w:w="85" w:type="dxa"/>
              <w:start w:w="100" w:type="dxa"/>
              <w:bottom w:w="85" w:type="dxa"/>
              <w:end w:w="100" w:type="dxa"/>
            </w:tcMar>
            <w:shd w:fill="8E7CC3"/>
          </w:tcPr>
          <w:p>
            <w:pPr>
              <w:jc w:val="left"/>
            </w:pPr>
            <w:r>
              <w:rPr>
                <w:rFonts w:ascii="Aptos" w:hAnsi="Aptos"/>
                <w:b/>
                <w:i w:val="0"/>
                <w:color w:val="FFFFFF"/>
                <w:sz w:val="21"/>
              </w:rPr>
              <w:t>Point à vérifier</w:t>
            </w:r>
          </w:p>
        </w:tc>
        <w:tc>
          <w:tcPr>
            <w:tcW w:type="dxa" w:w="4422"/>
            <w:vAlign w:val="center"/>
            <w:tcMar>
              <w:top w:w="85" w:type="dxa"/>
              <w:start w:w="100" w:type="dxa"/>
              <w:bottom w:w="85" w:type="dxa"/>
              <w:end w:w="100" w:type="dxa"/>
            </w:tcMar>
            <w:shd w:fill="8E7CC3"/>
          </w:tcPr>
          <w:p>
            <w:pPr>
              <w:jc w:val="left"/>
            </w:pPr>
            <w:r>
              <w:rPr>
                <w:rFonts w:ascii="Aptos" w:hAnsi="Aptos"/>
                <w:b/>
                <w:i w:val="0"/>
                <w:color w:val="FFFFFF"/>
                <w:sz w:val="21"/>
              </w:rPr>
              <w:t>Repère de qualité</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Langue et traduction</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 rire naît-il d’un mot mal compris, d’une expression trop littérale, d’un faux ami ou d’un niveau de langue inattendu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Rapport au temps</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Les personnages vivent-ils le quotidien au même rythme ? La ponctualité, l’urgence ou la planification deviennent-elles des moteurs de scène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Rapport au succès</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La réussite se dit-elle, se montre-t-elle ou se dissimule-t-elle ? Cette différence crée-t-elle une tension comique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Vie sentimentale</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Les codes du flirt, de la pudeur, de l’engagement ou du second degré créent-ils des malentendus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Sphère professionnelle</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 monde du travail impose-t-il des normes différentes de communication, d’initiative ou de hiérarchie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Famille et sociabilité</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 rapport aux repas, aux invitations, aux excuses, aux sujets sensibles et à l’humour lui-même devient-il une matière dramatique ?</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6. Mini-plan de note d’intention finale</w:t>
            </w:r>
          </w:p>
        </w:tc>
      </w:tr>
    </w:tbl>
    <w:p>
      <w:pPr>
        <w:spacing w:after="40"/>
      </w:pPr>
    </w:p>
    <w:tbl>
      <w:tblPr>
        <w:tblW w:type="auto" w:w="0"/>
        <w:jc w:val="center"/>
        <w:tblLayout w:type="fixed"/>
        <w:tblLook w:firstColumn="1" w:firstRow="1" w:lastColumn="0" w:lastRow="0" w:noHBand="0" w:noVBand="1" w:val="04A0"/>
      </w:tblPr>
      <w:tblGrid>
        <w:gridCol w:w="5100"/>
        <w:gridCol w:w="5100"/>
      </w:tblGrid>
      <w:tr>
        <w:tc>
          <w:tcPr>
            <w:tcW w:type="dxa" w:w="3118"/>
            <w:vAlign w:val="center"/>
            <w:tcMar>
              <w:top w:w="80" w:type="dxa"/>
              <w:start w:w="100" w:type="dxa"/>
              <w:bottom w:w="80" w:type="dxa"/>
              <w:end w:w="100" w:type="dxa"/>
            </w:tcMar>
            <w:shd w:fill="6AA84F"/>
          </w:tcPr>
          <w:p>
            <w:r>
              <w:rPr>
                <w:rFonts w:ascii="Aptos" w:hAnsi="Aptos"/>
                <w:b/>
                <w:i w:val="0"/>
                <w:color w:val="FFFFFF"/>
                <w:sz w:val="21"/>
              </w:rPr>
              <w:t>Partie</w:t>
            </w:r>
          </w:p>
        </w:tc>
        <w:tc>
          <w:tcPr>
            <w:tcW w:type="dxa" w:w="6066"/>
            <w:vAlign w:val="center"/>
            <w:tcMar>
              <w:top w:w="80" w:type="dxa"/>
              <w:start w:w="100" w:type="dxa"/>
              <w:bottom w:w="80" w:type="dxa"/>
              <w:end w:w="100" w:type="dxa"/>
            </w:tcMar>
            <w:shd w:fill="6AA84F"/>
          </w:tcPr>
          <w:p>
            <w:r>
              <w:rPr>
                <w:rFonts w:ascii="Aptos" w:hAnsi="Aptos"/>
                <w:b/>
                <w:i w:val="0"/>
                <w:color w:val="FFFFFF"/>
                <w:sz w:val="21"/>
              </w:rPr>
              <w:t>Contenu attendu</w:t>
            </w:r>
          </w:p>
        </w:tc>
      </w:tr>
      <w:tr>
        <w:tc>
          <w:tcPr>
            <w:tcW w:type="dxa" w:w="3118"/>
            <w:vAlign w:val="center"/>
            <w:tcMar>
              <w:top w:w="80" w:type="dxa"/>
              <w:start w:w="100" w:type="dxa"/>
              <w:bottom w:w="80" w:type="dxa"/>
              <w:end w:w="100" w:type="dxa"/>
            </w:tcMar>
            <w:shd w:fill="E8F0FE"/>
          </w:tcPr>
          <w:p>
            <w:r>
              <w:rPr>
                <w:rFonts w:ascii="Aptos" w:hAnsi="Aptos"/>
                <w:b/>
                <w:i w:val="0"/>
                <w:color w:val="2D5222"/>
                <w:sz w:val="20"/>
              </w:rPr>
              <w:t>Ouverture</w:t>
            </w:r>
          </w:p>
        </w:tc>
        <w:tc>
          <w:tcPr>
            <w:tcW w:type="dxa" w:w="6066"/>
            <w:vAlign w:val="center"/>
            <w:tcMar>
              <w:top w:w="80" w:type="dxa"/>
              <w:start w:w="100" w:type="dxa"/>
              <w:bottom w:w="80" w:type="dxa"/>
              <w:end w:w="100" w:type="dxa"/>
            </w:tcMar>
            <w:shd w:fill="F8FBFF"/>
          </w:tcPr>
          <w:p>
            <w:r>
              <w:rPr>
                <w:rFonts w:ascii="Aptos" w:hAnsi="Aptos"/>
                <w:b w:val="0"/>
                <w:i w:val="0"/>
                <w:color w:val="373737"/>
                <w:sz w:val="20"/>
              </w:rPr>
              <w:t>Une entrée personnelle et incarnée qui expose l’envie d’écrire cette comédie.</w:t>
            </w:r>
          </w:p>
        </w:tc>
      </w:tr>
      <w:tr>
        <w:tc>
          <w:tcPr>
            <w:tcW w:type="dxa" w:w="3118"/>
            <w:vAlign w:val="center"/>
            <w:tcMar>
              <w:top w:w="80" w:type="dxa"/>
              <w:start w:w="100" w:type="dxa"/>
              <w:bottom w:w="80" w:type="dxa"/>
              <w:end w:w="100" w:type="dxa"/>
            </w:tcMar>
            <w:shd w:fill="E8F0FE"/>
          </w:tcPr>
          <w:p>
            <w:r>
              <w:rPr>
                <w:rFonts w:ascii="Aptos" w:hAnsi="Aptos"/>
                <w:b/>
                <w:i w:val="0"/>
                <w:color w:val="2D5222"/>
                <w:sz w:val="20"/>
              </w:rPr>
              <w:t>Univers</w:t>
            </w:r>
          </w:p>
        </w:tc>
        <w:tc>
          <w:tcPr>
            <w:tcW w:type="dxa" w:w="6066"/>
            <w:vAlign w:val="center"/>
            <w:tcMar>
              <w:top w:w="80" w:type="dxa"/>
              <w:start w:w="100" w:type="dxa"/>
              <w:bottom w:w="80" w:type="dxa"/>
              <w:end w:w="100" w:type="dxa"/>
            </w:tcMar>
            <w:shd w:fill="F8FBFF"/>
          </w:tcPr>
          <w:p>
            <w:r>
              <w:rPr>
                <w:rFonts w:ascii="Aptos" w:hAnsi="Aptos"/>
                <w:b w:val="0"/>
                <w:i w:val="0"/>
                <w:color w:val="373737"/>
                <w:sz w:val="20"/>
              </w:rPr>
              <w:t>Le monde du récit, sa couleur, sa temporalité, ses lieux, ses usages culturels.</w:t>
            </w:r>
          </w:p>
        </w:tc>
      </w:tr>
      <w:tr>
        <w:tc>
          <w:tcPr>
            <w:tcW w:type="dxa" w:w="3118"/>
            <w:vAlign w:val="center"/>
            <w:tcMar>
              <w:top w:w="80" w:type="dxa"/>
              <w:start w:w="100" w:type="dxa"/>
              <w:bottom w:w="80" w:type="dxa"/>
              <w:end w:w="100" w:type="dxa"/>
            </w:tcMar>
            <w:shd w:fill="E8F0FE"/>
          </w:tcPr>
          <w:p>
            <w:r>
              <w:rPr>
                <w:rFonts w:ascii="Aptos" w:hAnsi="Aptos"/>
                <w:b/>
                <w:i w:val="0"/>
                <w:color w:val="2D5222"/>
                <w:sz w:val="20"/>
              </w:rPr>
              <w:t>Personnages</w:t>
            </w:r>
          </w:p>
        </w:tc>
        <w:tc>
          <w:tcPr>
            <w:tcW w:type="dxa" w:w="6066"/>
            <w:vAlign w:val="center"/>
            <w:tcMar>
              <w:top w:w="80" w:type="dxa"/>
              <w:start w:w="100" w:type="dxa"/>
              <w:bottom w:w="80" w:type="dxa"/>
              <w:end w:w="100" w:type="dxa"/>
            </w:tcMar>
            <w:shd w:fill="F8FBFF"/>
          </w:tcPr>
          <w:p>
            <w:r>
              <w:rPr>
                <w:rFonts w:ascii="Aptos" w:hAnsi="Aptos"/>
                <w:b w:val="0"/>
                <w:i w:val="0"/>
                <w:color w:val="373737"/>
                <w:sz w:val="20"/>
              </w:rPr>
              <w:t>Le moteur comique du duo, du trio ou de la constellation de personnages.</w:t>
            </w:r>
          </w:p>
        </w:tc>
      </w:tr>
      <w:tr>
        <w:tc>
          <w:tcPr>
            <w:tcW w:type="dxa" w:w="3118"/>
            <w:vAlign w:val="center"/>
            <w:tcMar>
              <w:top w:w="80" w:type="dxa"/>
              <w:start w:w="100" w:type="dxa"/>
              <w:bottom w:w="80" w:type="dxa"/>
              <w:end w:w="100" w:type="dxa"/>
            </w:tcMar>
            <w:shd w:fill="E8F0FE"/>
          </w:tcPr>
          <w:p>
            <w:r>
              <w:rPr>
                <w:rFonts w:ascii="Aptos" w:hAnsi="Aptos"/>
                <w:b/>
                <w:i w:val="0"/>
                <w:color w:val="2D5222"/>
                <w:sz w:val="20"/>
              </w:rPr>
              <w:t>Ton</w:t>
            </w:r>
          </w:p>
        </w:tc>
        <w:tc>
          <w:tcPr>
            <w:tcW w:type="dxa" w:w="6066"/>
            <w:vAlign w:val="center"/>
            <w:tcMar>
              <w:top w:w="80" w:type="dxa"/>
              <w:start w:w="100" w:type="dxa"/>
              <w:bottom w:w="80" w:type="dxa"/>
              <w:end w:w="100" w:type="dxa"/>
            </w:tcMar>
            <w:shd w:fill="F8FBFF"/>
          </w:tcPr>
          <w:p>
            <w:r>
              <w:rPr>
                <w:rFonts w:ascii="Aptos" w:hAnsi="Aptos"/>
                <w:b w:val="0"/>
                <w:i w:val="0"/>
                <w:color w:val="373737"/>
                <w:sz w:val="20"/>
              </w:rPr>
              <w:t>Le dosage entre drôlerie, tendresse, ironie, satire et émotion.</w:t>
            </w:r>
          </w:p>
        </w:tc>
      </w:tr>
      <w:tr>
        <w:tc>
          <w:tcPr>
            <w:tcW w:type="dxa" w:w="3118"/>
            <w:vAlign w:val="center"/>
            <w:tcMar>
              <w:top w:w="80" w:type="dxa"/>
              <w:start w:w="100" w:type="dxa"/>
              <w:bottom w:w="80" w:type="dxa"/>
              <w:end w:w="100" w:type="dxa"/>
            </w:tcMar>
            <w:shd w:fill="E8F0FE"/>
          </w:tcPr>
          <w:p>
            <w:r>
              <w:rPr>
                <w:rFonts w:ascii="Aptos" w:hAnsi="Aptos"/>
                <w:b/>
                <w:i w:val="0"/>
                <w:color w:val="2D5222"/>
                <w:sz w:val="20"/>
              </w:rPr>
              <w:t>Mise en scène</w:t>
            </w:r>
          </w:p>
        </w:tc>
        <w:tc>
          <w:tcPr>
            <w:tcW w:type="dxa" w:w="6066"/>
            <w:vAlign w:val="center"/>
            <w:tcMar>
              <w:top w:w="80" w:type="dxa"/>
              <w:start w:w="100" w:type="dxa"/>
              <w:bottom w:w="80" w:type="dxa"/>
              <w:end w:w="100" w:type="dxa"/>
            </w:tcMar>
            <w:shd w:fill="F8FBFF"/>
          </w:tcPr>
          <w:p>
            <w:r>
              <w:rPr>
                <w:rFonts w:ascii="Aptos" w:hAnsi="Aptos"/>
                <w:b w:val="0"/>
                <w:i w:val="0"/>
                <w:color w:val="373737"/>
                <w:sz w:val="20"/>
              </w:rPr>
              <w:t>Cadence, précision du dialogue, circulation des corps, objets, musique, espaces.</w:t>
            </w:r>
          </w:p>
        </w:tc>
      </w:tr>
      <w:tr>
        <w:tc>
          <w:tcPr>
            <w:tcW w:type="dxa" w:w="3118"/>
            <w:vAlign w:val="center"/>
            <w:tcMar>
              <w:top w:w="80" w:type="dxa"/>
              <w:start w:w="100" w:type="dxa"/>
              <w:bottom w:w="80" w:type="dxa"/>
              <w:end w:w="100" w:type="dxa"/>
            </w:tcMar>
            <w:shd w:fill="E8F0FE"/>
          </w:tcPr>
          <w:p>
            <w:r>
              <w:rPr>
                <w:rFonts w:ascii="Aptos" w:hAnsi="Aptos"/>
                <w:b/>
                <w:i w:val="0"/>
                <w:color w:val="2D5222"/>
                <w:sz w:val="20"/>
              </w:rPr>
              <w:t>Intention finale</w:t>
            </w:r>
          </w:p>
        </w:tc>
        <w:tc>
          <w:tcPr>
            <w:tcW w:type="dxa" w:w="6066"/>
            <w:vAlign w:val="center"/>
            <w:tcMar>
              <w:top w:w="80" w:type="dxa"/>
              <w:start w:w="100" w:type="dxa"/>
              <w:bottom w:w="80" w:type="dxa"/>
              <w:end w:w="100" w:type="dxa"/>
            </w:tcMar>
            <w:shd w:fill="F8FBFF"/>
          </w:tcPr>
          <w:p>
            <w:r>
              <w:rPr>
                <w:rFonts w:ascii="Aptos" w:hAnsi="Aptos"/>
                <w:b w:val="0"/>
                <w:i w:val="0"/>
                <w:color w:val="373737"/>
                <w:sz w:val="20"/>
              </w:rPr>
              <w:t>Ce que le film, la série ou le spectacle souhaite laisser au public après le rire.</w:t>
            </w:r>
          </w:p>
        </w:tc>
      </w:tr>
    </w:tbl>
    <w:p/>
    <w:p>
      <w:r>
        <w:br w:type="page"/>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7. Version courte prête à adapter</w:t>
            </w:r>
          </w:p>
        </w:tc>
      </w:tr>
    </w:tbl>
    <w:p>
      <w:pPr>
        <w:spacing w:after="40"/>
      </w:pPr>
    </w:p>
    <w:p>
      <w:pPr>
        <w:spacing w:after="140"/>
      </w:pPr>
      <w:r>
        <w:rPr>
          <w:rFonts w:ascii="Aptos" w:hAnsi="Aptos"/>
          <w:b w:val="0"/>
          <w:i w:val="0"/>
          <w:color w:val="373737"/>
          <w:sz w:val="21"/>
        </w:rPr>
        <w:t>Cette comédie prend appui sur un espace franco-américain où chacun croit comprendre l’autre avant de découvrir, parfois avec panique, parfois avec charme, tout ce qui lui échappe encore. Mon envie consiste à raconter ces décalages avec précision, sans lourdeur démonstrative, en laissant le comique surgir des gestes ordinaires, des dialogues obliques, des malentendus de bonne foi et de la manière dont chacun tente de préserver sa dignité dans une situation qui lui glisse entre les mains. Le projet cherche ainsi un équilibre entre l’énergie de la comédie de situation, l’acuité d’une observation sociale et une émotion discrète, capable de donner au rire une résonance durable.</w:t>
      </w:r>
    </w:p>
    <w:tbl>
      <w:tblPr>
        <w:tblW w:type="auto" w:w="0"/>
        <w:jc w:val="center"/>
        <w:tblLayout w:type="fixed"/>
        <w:tblLook w:firstColumn="1" w:firstRow="1" w:lastColumn="0" w:lastRow="0" w:noHBand="0" w:noVBand="1" w:val="04A0"/>
        <w:tblBorders>
          <w:top w:val="nil"/>
          <w:left w:val="nil"/>
          <w:bottom w:val="nil"/>
          <w:right w:val="nil"/>
          <w:insideH w:val="nil"/>
          <w:insideV w:val="nil"/>
        </w:tblBorders>
      </w:tblPr>
      <w:tblGrid>
        <w:gridCol w:w="10200"/>
      </w:tblGrid>
      <w:tr>
        <w:tc>
          <w:tcPr>
            <w:tcW w:type="dxa" w:w="9184"/>
            <w:vAlign w:val="center"/>
            <w:tcMar>
              <w:top w:w="100" w:type="dxa"/>
              <w:start w:w="120" w:type="dxa"/>
              <w:bottom w:w="100" w:type="dxa"/>
              <w:end w:w="120" w:type="dxa"/>
            </w:tcMar>
            <w:shd w:fill="F4B183"/>
          </w:tcPr>
          <w:p>
            <w:r>
              <w:rPr>
                <w:rFonts w:ascii="Aptos" w:hAnsi="Aptos"/>
                <w:b/>
                <w:i w:val="0"/>
                <w:color w:val="FFFFFF"/>
                <w:sz w:val="23"/>
              </w:rPr>
              <w:t>Remplacez et ajustez</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Titre du projet : ..............................................................</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Cadre précis : ................................................................</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Conflit central : .............................................................</w:t>
            </w:r>
          </w:p>
        </w:tc>
      </w:tr>
      <w:tr>
        <w:tc>
          <w:tcPr>
            <w:tcW w:type="dxa" w:w="9184"/>
            <w:vAlign w:val="center"/>
            <w:tcMar>
              <w:top w:w="100" w:type="dxa"/>
              <w:start w:w="120" w:type="dxa"/>
              <w:bottom w:w="100" w:type="dxa"/>
              <w:end w:w="120" w:type="dxa"/>
            </w:tcMar>
            <w:shd w:fill="FFF9F4"/>
          </w:tcPr>
          <w:p>
            <w:r>
              <w:rPr>
                <w:rFonts w:ascii="Aptos" w:hAnsi="Aptos"/>
                <w:b w:val="0"/>
                <w:i w:val="0"/>
                <w:color w:val="373737"/>
                <w:sz w:val="21"/>
              </w:rPr>
              <w:t>Parti pris comique : ..........................................................</w:t>
            </w:r>
          </w:p>
        </w:tc>
      </w:tr>
    </w:tbl>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8. Conseils de formulation</w:t>
            </w:r>
          </w:p>
        </w:tc>
      </w:tr>
    </w:tbl>
    <w:p>
      <w:pPr>
        <w:spacing w:after="40"/>
      </w:pPr>
    </w:p>
    <w:p>
      <w:pPr>
        <w:ind w:left="227"/>
      </w:pPr>
      <w:r>
        <w:rPr>
          <w:rFonts w:ascii="Aptos" w:hAnsi="Aptos"/>
          <w:b/>
          <w:i w:val="0"/>
          <w:color w:val="F48236"/>
          <w:sz w:val="22"/>
        </w:rPr>
        <w:t xml:space="preserve">• </w:t>
      </w:r>
      <w:r>
        <w:rPr>
          <w:rFonts w:ascii="Aptos" w:hAnsi="Aptos"/>
          <w:b w:val="0"/>
          <w:i w:val="0"/>
          <w:color w:val="3C3C3C"/>
          <w:sz w:val="21"/>
        </w:rPr>
        <w:t>Privilégier des verbes d’intention : explorer, faire entendre, observer, déplacer, révéler, confronter, faire surgir.</w:t>
      </w:r>
    </w:p>
    <w:p>
      <w:pPr>
        <w:ind w:left="227"/>
      </w:pPr>
      <w:r>
        <w:rPr>
          <w:rFonts w:ascii="Aptos" w:hAnsi="Aptos"/>
          <w:b/>
          <w:i w:val="0"/>
          <w:color w:val="F48236"/>
          <w:sz w:val="22"/>
        </w:rPr>
        <w:t xml:space="preserve">• </w:t>
      </w:r>
      <w:r>
        <w:rPr>
          <w:rFonts w:ascii="Aptos" w:hAnsi="Aptos"/>
          <w:b w:val="0"/>
          <w:i w:val="0"/>
          <w:color w:val="3C3C3C"/>
          <w:sz w:val="21"/>
        </w:rPr>
        <w:t>Nommer le ton avec précision : mordant, délicat, tendre, vif, élégant, frontal, mélancolique, absurde, satirique.</w:t>
      </w:r>
    </w:p>
    <w:p>
      <w:pPr>
        <w:ind w:left="227"/>
      </w:pPr>
      <w:r>
        <w:rPr>
          <w:rFonts w:ascii="Aptos" w:hAnsi="Aptos"/>
          <w:b/>
          <w:i w:val="0"/>
          <w:color w:val="F48236"/>
          <w:sz w:val="22"/>
        </w:rPr>
        <w:t xml:space="preserve">• </w:t>
      </w:r>
      <w:r>
        <w:rPr>
          <w:rFonts w:ascii="Aptos" w:hAnsi="Aptos"/>
          <w:b w:val="0"/>
          <w:i w:val="0"/>
          <w:color w:val="3C3C3C"/>
          <w:sz w:val="21"/>
        </w:rPr>
        <w:t>Ancrer le contexte franco-américain dans des situations concrètes plutôt que dans des généralités culturelles.</w:t>
      </w:r>
    </w:p>
    <w:p>
      <w:pPr>
        <w:ind w:left="227"/>
      </w:pPr>
      <w:r>
        <w:rPr>
          <w:rFonts w:ascii="Aptos" w:hAnsi="Aptos"/>
          <w:b/>
          <w:i w:val="0"/>
          <w:color w:val="F48236"/>
          <w:sz w:val="22"/>
        </w:rPr>
        <w:t xml:space="preserve">• </w:t>
      </w:r>
      <w:r>
        <w:rPr>
          <w:rFonts w:ascii="Aptos" w:hAnsi="Aptos"/>
          <w:b w:val="0"/>
          <w:i w:val="0"/>
          <w:color w:val="3C3C3C"/>
          <w:sz w:val="21"/>
        </w:rPr>
        <w:t>Garder une voix personnelle : la note parle du projet, mais elle parle aussi du regard qui le porte.</w:t>
      </w:r>
    </w:p>
    <w:tbl>
      <w:tblPr>
        <w:tblW w:type="auto" w:w="0"/>
        <w:jc w:val="center"/>
        <w:tblLook w:firstColumn="1" w:firstRow="1" w:lastColumn="0" w:lastRow="0" w:noHBand="0" w:noVBand="1" w:val="04A0"/>
        <w:tblBorders>
          <w:top w:val="nil"/>
          <w:left w:val="nil"/>
          <w:bottom w:val="nil"/>
          <w:right w:val="nil"/>
          <w:insideH w:val="nil"/>
          <w:insideV w:val="nil"/>
        </w:tblBorders>
      </w:tblPr>
      <w:tblGrid>
        <w:gridCol w:w="10200"/>
      </w:tblGrid>
      <w:tr>
        <w:tc>
          <w:tcPr>
            <w:tcW w:type="dxa" w:w="10200"/>
            <w:shd w:fill="173F5F"/>
            <w:tcMar>
              <w:top w:w="90" w:type="dxa"/>
              <w:start w:w="120" w:type="dxa"/>
              <w:bottom w:w="90" w:type="dxa"/>
              <w:end w:w="120" w:type="dxa"/>
            </w:tcMar>
          </w:tcPr>
          <w:p>
            <w:pPr>
              <w:jc w:val="left"/>
            </w:pPr>
            <w:r>
              <w:rPr>
                <w:rFonts w:ascii="Aptos" w:hAnsi="Aptos"/>
                <w:b/>
                <w:i w:val="0"/>
                <w:color w:val="FFFFFF"/>
                <w:sz w:val="26"/>
              </w:rPr>
              <w:t>9. Bloc de validation finale</w:t>
            </w:r>
          </w:p>
        </w:tc>
      </w:tr>
    </w:tbl>
    <w:p>
      <w:pPr>
        <w:spacing w:after="40"/>
      </w:pPr>
    </w:p>
    <w:tbl>
      <w:tblPr>
        <w:tblW w:type="auto" w:w="0"/>
        <w:jc w:val="center"/>
        <w:tblLayout w:type="fixed"/>
        <w:tblLook w:firstColumn="1" w:firstRow="1" w:lastColumn="0" w:lastRow="0" w:noHBand="0" w:noVBand="1" w:val="04A0"/>
      </w:tblPr>
      <w:tblGrid>
        <w:gridCol w:w="3400"/>
        <w:gridCol w:w="3400"/>
        <w:gridCol w:w="3400"/>
      </w:tblGrid>
      <w:tr>
        <w:tc>
          <w:tcPr>
            <w:tcW w:type="dxa" w:w="510"/>
            <w:vAlign w:val="center"/>
            <w:tcMar>
              <w:top w:w="85" w:type="dxa"/>
              <w:start w:w="100" w:type="dxa"/>
              <w:bottom w:w="85" w:type="dxa"/>
              <w:end w:w="100" w:type="dxa"/>
            </w:tcMar>
            <w:shd w:fill="8E7CC3"/>
          </w:tcPr>
          <w:p>
            <w:pPr>
              <w:jc w:val="center"/>
            </w:pPr>
            <w:r>
              <w:rPr>
                <w:rFonts w:ascii="Aptos" w:hAnsi="Aptos"/>
                <w:b/>
                <w:i w:val="0"/>
                <w:color w:val="FFFFFF"/>
                <w:sz w:val="21"/>
              </w:rPr>
              <w:t>□</w:t>
            </w:r>
          </w:p>
        </w:tc>
        <w:tc>
          <w:tcPr>
            <w:tcW w:type="dxa" w:w="4252"/>
            <w:vAlign w:val="center"/>
            <w:tcMar>
              <w:top w:w="85" w:type="dxa"/>
              <w:start w:w="100" w:type="dxa"/>
              <w:bottom w:w="85" w:type="dxa"/>
              <w:end w:w="100" w:type="dxa"/>
            </w:tcMar>
            <w:shd w:fill="8E7CC3"/>
          </w:tcPr>
          <w:p>
            <w:pPr>
              <w:jc w:val="left"/>
            </w:pPr>
            <w:r>
              <w:rPr>
                <w:rFonts w:ascii="Aptos" w:hAnsi="Aptos"/>
                <w:b/>
                <w:i w:val="0"/>
                <w:color w:val="FFFFFF"/>
                <w:sz w:val="21"/>
              </w:rPr>
              <w:t>Point à vérifier</w:t>
            </w:r>
          </w:p>
        </w:tc>
        <w:tc>
          <w:tcPr>
            <w:tcW w:type="dxa" w:w="4422"/>
            <w:vAlign w:val="center"/>
            <w:tcMar>
              <w:top w:w="85" w:type="dxa"/>
              <w:start w:w="100" w:type="dxa"/>
              <w:bottom w:w="85" w:type="dxa"/>
              <w:end w:w="100" w:type="dxa"/>
            </w:tcMar>
            <w:shd w:fill="8E7CC3"/>
          </w:tcPr>
          <w:p>
            <w:pPr>
              <w:jc w:val="left"/>
            </w:pPr>
            <w:r>
              <w:rPr>
                <w:rFonts w:ascii="Aptos" w:hAnsi="Aptos"/>
                <w:b/>
                <w:i w:val="0"/>
                <w:color w:val="FFFFFF"/>
                <w:sz w:val="21"/>
              </w:rPr>
              <w:t>Repère de qualité</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Vision claire</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La note fait-elle entendre un point de vue personnel et une promesse de comédie identifiables dès les premières lignes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Contexte vivant</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 cadre franco-américain apparaît-il à travers des situations concrètes plutôt qu’à travers des clichés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Personnages mémorables</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 moteur comique de chaque personnage est-il perceptible, distinct et crédible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Ton cohérent</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Le niveau d’ironie, de tendresse et de satire reste-t-il stable dans l’ensemble du texte ?</w:t>
            </w:r>
          </w:p>
        </w:tc>
      </w:tr>
      <w:tr>
        <w:tc>
          <w:tcPr>
            <w:tcW w:type="dxa" w:w="510"/>
            <w:vAlign w:val="center"/>
            <w:tcMar>
              <w:top w:w="85" w:type="dxa"/>
              <w:start w:w="100" w:type="dxa"/>
              <w:bottom w:w="85" w:type="dxa"/>
              <w:end w:w="100" w:type="dxa"/>
            </w:tcMar>
            <w:shd w:fill="F6F0FF"/>
          </w:tcPr>
          <w:p>
            <w:pPr>
              <w:jc w:val="center"/>
            </w:pPr>
            <w:r>
              <w:rPr>
                <w:rFonts w:ascii="Aptos" w:hAnsi="Aptos"/>
                <w:b/>
                <w:i w:val="0"/>
                <w:color w:val="584294"/>
                <w:sz w:val="24"/>
              </w:rPr>
              <w:t>□</w:t>
            </w:r>
          </w:p>
        </w:tc>
        <w:tc>
          <w:tcPr>
            <w:tcW w:type="dxa" w:w="4252"/>
            <w:vAlign w:val="center"/>
            <w:tcMar>
              <w:top w:w="85" w:type="dxa"/>
              <w:start w:w="100" w:type="dxa"/>
              <w:bottom w:w="85" w:type="dxa"/>
              <w:end w:w="100" w:type="dxa"/>
            </w:tcMar>
            <w:shd w:fill="F6F0FF"/>
          </w:tcPr>
          <w:p>
            <w:r>
              <w:rPr>
                <w:rFonts w:ascii="Aptos" w:hAnsi="Aptos"/>
                <w:b/>
                <w:i w:val="0"/>
                <w:color w:val="584294"/>
                <w:sz w:val="20"/>
              </w:rPr>
              <w:t>Désir de lecture</w:t>
            </w:r>
          </w:p>
        </w:tc>
        <w:tc>
          <w:tcPr>
            <w:tcW w:type="dxa" w:w="4422"/>
            <w:vAlign w:val="center"/>
            <w:tcMar>
              <w:top w:w="85" w:type="dxa"/>
              <w:start w:w="100" w:type="dxa"/>
              <w:bottom w:w="85" w:type="dxa"/>
              <w:end w:w="100" w:type="dxa"/>
            </w:tcMar>
            <w:shd w:fill="FCFAFF"/>
          </w:tcPr>
          <w:p>
            <w:r>
              <w:rPr>
                <w:rFonts w:ascii="Aptos" w:hAnsi="Aptos"/>
                <w:b w:val="0"/>
                <w:i w:val="0"/>
                <w:color w:val="373737"/>
                <w:sz w:val="20"/>
              </w:rPr>
              <w:t>La note donne-t-elle envie de lire le scénario ou de découvrir la suite du projet ?</w:t>
            </w:r>
          </w:p>
        </w:tc>
      </w:tr>
    </w:tbl>
    <w:p/>
    <w:tbl>
      <w:tblPr>
        <w:tblW w:type="auto" w:w="0"/>
        <w:tblLook w:firstColumn="1" w:firstRow="1" w:lastColumn="0" w:lastRow="0" w:noHBand="0" w:noVBand="1" w:val="04A0"/>
        <w:jc w:val="center"/>
        <w:tblBorders>
          <w:top w:val="nil"/>
          <w:left w:val="nil"/>
          <w:bottom w:val="nil"/>
          <w:right w:val="nil"/>
          <w:insideH w:val="nil"/>
          <w:insideV w:val="nil"/>
        </w:tblBorders>
      </w:tblPr>
      <w:tblGrid>
        <w:gridCol w:w="10200"/>
      </w:tblGrid>
      <w:tr>
        <w:tc>
          <w:tcPr>
            <w:tcW w:type="dxa" w:w="9184"/>
            <w:shd w:fill="173F5F"/>
            <w:tcMar>
              <w:top w:w="100" w:type="dxa"/>
              <w:start w:w="120" w:type="dxa"/>
              <w:bottom w:w="100" w:type="dxa"/>
              <w:end w:w="120" w:type="dxa"/>
            </w:tcMar>
          </w:tcPr>
          <w:p>
            <w:pPr>
              <w:jc w:val="center"/>
            </w:pPr>
            <w:r>
              <w:rPr>
                <w:rFonts w:ascii="Aptos" w:hAnsi="Aptos"/>
                <w:b/>
                <w:i w:val="0"/>
                <w:color w:val="FFFFFF"/>
                <w:sz w:val="22"/>
              </w:rPr>
              <w:t>Espace pour vos ajouts manuscrits ou remarques de lecture</w:t>
            </w:r>
          </w:p>
        </w:tc>
      </w:tr>
    </w:tbl>
    <w:sectPr w:rsidR="00FC693F" w:rsidRPr="0006063C" w:rsidSect="00034616">
      <w:headerReference w:type="default" r:id="rId9"/>
      <w:pgSz w:w="12240" w:h="15840"/>
      <w:pgMar w:top="907" w:right="1020" w:bottom="85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ptos" w:hAnsi="Aptos"/>
        <w:b w:val="0"/>
        <w:i/>
        <w:color w:val="6E6E6E"/>
        <w:sz w:val="18"/>
      </w:rPr>
      <w:t>Note d’intention - Comédie franco-américaine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00" w:line="276" w:lineRule="auto"/>
    </w:pPr>
    <w:rPr>
      <w:rFonts w:ascii="Aptos" w:hAnsi="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