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rPr>
          <w:b/>
          <w:color w:val="022B4D"/>
          <w:sz w:val="64"/>
        </w:rPr>
        <w:t>IMPACT DES TECHNOLOGIES NUMÉRIQUES SUR L’APPRENTISSAGE UNIVERSITAIRE</w:t>
      </w:r>
    </w:p>
    <w:p>
      <w:pPr>
        <w:jc w:val="center"/>
      </w:pPr>
      <w:r>
        <w:rPr>
          <w:sz w:val="32"/>
        </w:rPr>
        <w:t>Mémoire de Master – Version enrichie et structurée</w:t>
      </w:r>
    </w:p>
    <w:p>
      <w:pPr>
        <w:jc w:val="center"/>
      </w:pPr>
      <w:r>
        <w:br/>
        <w:t>Nom de l’étudiant : __________________________</w:t>
        <w:br/>
        <w:t>Université : _________________________________</w:t>
        <w:br/>
        <w:t>Master / Spécialité : ________________________</w:t>
        <w:br/>
        <w:t>Directeur de mémoire : _______________________</w:t>
        <w:br/>
        <w:t>Année universitaire : ________________________</w:t>
      </w:r>
    </w:p>
    <w:p>
      <w:r>
        <w:br w:type="page"/>
      </w:r>
    </w:p>
    <w:p>
      <w:pPr>
        <w:pStyle w:val="Heading1"/>
      </w:pPr>
      <w:r>
        <w:rPr>
          <w:b/>
          <w:color w:val="022B4D"/>
          <w:sz w:val="40"/>
        </w:rPr>
        <w:t>Introduction générale</w:t>
      </w:r>
    </w:p>
    <w:p>
      <w:pPr>
        <w:spacing w:after="160"/>
      </w:pPr>
      <w:r>
        <w:t>La transformation numérique constitue aujourd’hui l’un des phénomènes les plus marquants dans l’évolution des systèmes éducatifs. Les universités ont progressivement intégré de nombreuses technologies pédagogiques afin de moderniser les pratiques d’enseignement et d’apprentissage.</w:t>
      </w:r>
    </w:p>
    <w:p>
      <w:pPr>
        <w:spacing w:after="160"/>
      </w:pPr>
      <w:r>
        <w:t>Les plateformes d’apprentissage en ligne, les environnements numériques de travail et les outils collaboratifs permettent désormais aux étudiants d’accéder aux ressources pédagogiques de manière plus flexible et interactive.</w:t>
      </w:r>
    </w:p>
    <w:p>
      <w:pPr>
        <w:spacing w:after="160"/>
      </w:pPr>
      <w:r>
        <w:t>Dans ce contexte, les chercheurs s’interrogent sur l’impact réel de ces technologies sur les performances académiques, la motivation et l’engagement des étudiants.</w:t>
      </w:r>
    </w:p>
    <w:p>
      <w:pPr>
        <w:spacing w:after="160"/>
      </w:pPr>
      <w:r>
        <w:t>L’objectif de ce mémoire consiste à analyser comment les technologies numériques influencent les pratiques d’apprentissage dans l’enseignement supérieur et dans quelles conditions elles contribuent à améliorer la qualité de l’expérience éducative.</w:t>
      </w:r>
    </w:p>
    <w:p>
      <w:r>
        <w:br w:type="page"/>
      </w:r>
    </w:p>
    <w:p>
      <w:pPr>
        <w:pStyle w:val="Heading1"/>
      </w:pPr>
      <w:r>
        <w:rPr>
          <w:b/>
          <w:color w:val="022B4D"/>
          <w:sz w:val="40"/>
        </w:rPr>
        <w:t>Chapitre 1 – Cadre théorique et état de l’art</w:t>
      </w:r>
    </w:p>
    <w:p>
      <w:pPr>
        <w:spacing w:after="160"/>
      </w:pPr>
      <w:r>
        <w:t>La littérature scientifique consacrée à l’apprentissage numérique s’est considérablement développée depuis le début des années 2000. Les chercheurs ont étudié l’influence des technologies éducatives sur les processus d’apprentissage, la motivation des étudiants et la transformation des pratiques pédagogiques.</w:t>
      </w:r>
    </w:p>
    <w:p>
      <w:pPr>
        <w:spacing w:after="160"/>
      </w:pPr>
      <w:r>
        <w:t>Plusieurs modèles théoriques ont été proposés afin de comprendre ces transformations. Parmi les contributions majeures figure le modèle de la communauté d’apprentissage en ligne développé par Garrison et Anderson.</w:t>
      </w:r>
    </w:p>
    <w:p>
      <w:pPr>
        <w:spacing w:after="160"/>
      </w:pPr>
      <w:r>
        <w:t>Ce modèle identifie trois dimensions essentielles : la présence cognitive, la présence sociale et la présence pédagogique. L’interaction entre ces dimensions permet de créer un environnement d’apprentissage favorable au développement des connaissances.</w:t>
      </w:r>
    </w:p>
    <w:p>
      <w:pPr>
        <w:spacing w:after="160"/>
      </w:pPr>
      <w:r>
        <w:t>Les recherches montrent également que l’utilisation des technologies numériques peut favoriser l’autonomie des étudiants et renforcer leur participation aux activités pédagogiques.</w:t>
      </w:r>
    </w:p>
    <w:p>
      <w:pPr>
        <w:pStyle w:val="Heading2"/>
      </w:pPr>
      <w:r>
        <w:rPr>
          <w:b/>
          <w:color w:val="022B4D"/>
          <w:sz w:val="32"/>
        </w:rPr>
        <w:t>Tableau de synthèse des travaux scientifiques</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rPr>
                <w:b/>
              </w:rPr>
              <w:t>Auteur / Année</w:t>
            </w:r>
          </w:p>
        </w:tc>
        <w:tc>
          <w:tcPr>
            <w:tcW w:type="dxa" w:w="2160"/>
          </w:tcPr>
          <w:p>
            <w:r>
              <w:rPr>
                <w:b/>
              </w:rPr>
              <w:t>Objectif de l’étude</w:t>
            </w:r>
          </w:p>
        </w:tc>
        <w:tc>
          <w:tcPr>
            <w:tcW w:type="dxa" w:w="2160"/>
          </w:tcPr>
          <w:p>
            <w:r>
              <w:rPr>
                <w:b/>
              </w:rPr>
              <w:t>Méthodologie</w:t>
            </w:r>
          </w:p>
        </w:tc>
        <w:tc>
          <w:tcPr>
            <w:tcW w:type="dxa" w:w="2160"/>
          </w:tcPr>
          <w:p>
            <w:r>
              <w:rPr>
                <w:b/>
              </w:rPr>
              <w:t>Résultats</w:t>
            </w:r>
          </w:p>
        </w:tc>
      </w:tr>
      <w:tr>
        <w:tc>
          <w:tcPr>
            <w:tcW w:type="dxa" w:w="2160"/>
          </w:tcPr>
          <w:p>
            <w:r>
              <w:t>Garrison &amp; Anderson (2003)</w:t>
            </w:r>
          </w:p>
        </w:tc>
        <w:tc>
          <w:tcPr>
            <w:tcW w:type="dxa" w:w="2160"/>
          </w:tcPr>
          <w:p>
            <w:r>
              <w:t>Analyser l’apprentissage en ligne</w:t>
            </w:r>
          </w:p>
        </w:tc>
        <w:tc>
          <w:tcPr>
            <w:tcW w:type="dxa" w:w="2160"/>
          </w:tcPr>
          <w:p>
            <w:r>
              <w:t>Analyse théorique</w:t>
            </w:r>
          </w:p>
        </w:tc>
        <w:tc>
          <w:tcPr>
            <w:tcW w:type="dxa" w:w="2160"/>
          </w:tcPr>
          <w:p>
            <w:r>
              <w:t>Modèle de communauté d’apprentissage</w:t>
            </w:r>
          </w:p>
        </w:tc>
      </w:tr>
      <w:tr>
        <w:tc>
          <w:tcPr>
            <w:tcW w:type="dxa" w:w="2160"/>
          </w:tcPr>
          <w:p>
            <w:r>
              <w:t>Deci &amp; Ryan (2000)</w:t>
            </w:r>
          </w:p>
        </w:tc>
        <w:tc>
          <w:tcPr>
            <w:tcW w:type="dxa" w:w="2160"/>
          </w:tcPr>
          <w:p>
            <w:r>
              <w:t>Étudier la motivation intrinsèque</w:t>
            </w:r>
          </w:p>
        </w:tc>
        <w:tc>
          <w:tcPr>
            <w:tcW w:type="dxa" w:w="2160"/>
          </w:tcPr>
          <w:p>
            <w:r>
              <w:t>Approche psychologique</w:t>
            </w:r>
          </w:p>
        </w:tc>
        <w:tc>
          <w:tcPr>
            <w:tcW w:type="dxa" w:w="2160"/>
          </w:tcPr>
          <w:p>
            <w:r>
              <w:t>Importance de l’autodétermination</w:t>
            </w:r>
          </w:p>
        </w:tc>
      </w:tr>
      <w:tr>
        <w:tc>
          <w:tcPr>
            <w:tcW w:type="dxa" w:w="2160"/>
          </w:tcPr>
          <w:p>
            <w:r>
              <w:t>Means et al. (2014)</w:t>
            </w:r>
          </w:p>
        </w:tc>
        <w:tc>
          <w:tcPr>
            <w:tcW w:type="dxa" w:w="2160"/>
          </w:tcPr>
          <w:p>
            <w:r>
              <w:t>Comparer les méthodes pédagogiques</w:t>
            </w:r>
          </w:p>
        </w:tc>
        <w:tc>
          <w:tcPr>
            <w:tcW w:type="dxa" w:w="2160"/>
          </w:tcPr>
          <w:p>
            <w:r>
              <w:t>Étude empirique</w:t>
            </w:r>
          </w:p>
        </w:tc>
        <w:tc>
          <w:tcPr>
            <w:tcW w:type="dxa" w:w="2160"/>
          </w:tcPr>
          <w:p>
            <w:r>
              <w:t>Supériorité de l’apprentissage hybride</w:t>
            </w:r>
          </w:p>
        </w:tc>
      </w:tr>
    </w:tbl>
    <w:p>
      <w:r>
        <w:br w:type="page"/>
      </w:r>
    </w:p>
    <w:p>
      <w:pPr>
        <w:pStyle w:val="Heading1"/>
      </w:pPr>
      <w:r>
        <w:rPr>
          <w:b/>
          <w:color w:val="022B4D"/>
          <w:sz w:val="40"/>
        </w:rPr>
        <w:t>Chapitre 2 – Concepts et modèles d’analyse</w:t>
      </w:r>
    </w:p>
    <w:p>
      <w:pPr>
        <w:spacing w:after="160"/>
      </w:pPr>
      <w:r>
        <w:t>Afin d’analyser les effets des technologies numériques dans l’enseignement supérieur, plusieurs concepts théoriques sont mobilisés. Le premier concept central est celui d’apprentissage hybride, qui désigne une combinaison d’enseignement présentiel et d’activités pédagogiques numériques.</w:t>
      </w:r>
    </w:p>
    <w:p>
      <w:pPr>
        <w:spacing w:after="160"/>
      </w:pPr>
      <w:r>
        <w:t>Le second concept concerne l’engagement étudiant. Celui-ci correspond au degré d’investissement cognitif, émotionnel et comportemental des étudiants dans leurs activités académiques.</w:t>
      </w:r>
    </w:p>
    <w:p>
      <w:pPr>
        <w:spacing w:after="160"/>
      </w:pPr>
      <w:r>
        <w:t>Enfin, l’approche socioconstructiviste considère que l’apprentissage se construit à travers l’interaction sociale et la collaboration entre les apprenants.</w:t>
      </w:r>
    </w:p>
    <w:p>
      <w:pPr>
        <w:pStyle w:val="Heading2"/>
      </w:pPr>
      <w:r>
        <w:rPr>
          <w:b/>
          <w:color w:val="022B4D"/>
          <w:sz w:val="32"/>
        </w:rPr>
        <w:t>Concepts clés mobilisés</w:t>
      </w:r>
    </w:p>
    <w:tbl>
      <w:tblPr>
        <w:tblStyle w:val="TableGrid"/>
        <w:tblW w:type="auto" w:w="0"/>
        <w:tblLook w:firstColumn="1" w:firstRow="1" w:lastColumn="0" w:lastRow="0" w:noHBand="0" w:noVBand="1" w:val="04A0"/>
      </w:tblPr>
      <w:tblGrid>
        <w:gridCol w:w="2880"/>
        <w:gridCol w:w="2880"/>
        <w:gridCol w:w="2880"/>
      </w:tblGrid>
      <w:tr>
        <w:tc>
          <w:tcPr>
            <w:tcW w:type="dxa" w:w="2880"/>
          </w:tcPr>
          <w:p>
            <w:r>
              <w:rPr>
                <w:b/>
              </w:rPr>
              <w:t>Concept</w:t>
            </w:r>
          </w:p>
        </w:tc>
        <w:tc>
          <w:tcPr>
            <w:tcW w:type="dxa" w:w="2880"/>
          </w:tcPr>
          <w:p>
            <w:r>
              <w:rPr>
                <w:b/>
              </w:rPr>
              <w:t>Définition</w:t>
            </w:r>
          </w:p>
        </w:tc>
        <w:tc>
          <w:tcPr>
            <w:tcW w:type="dxa" w:w="2880"/>
          </w:tcPr>
          <w:p>
            <w:r>
              <w:rPr>
                <w:b/>
              </w:rPr>
              <w:t>Référence</w:t>
            </w:r>
          </w:p>
        </w:tc>
      </w:tr>
      <w:tr>
        <w:tc>
          <w:tcPr>
            <w:tcW w:type="dxa" w:w="2880"/>
          </w:tcPr>
          <w:p>
            <w:r>
              <w:t>Apprentissage hybride</w:t>
            </w:r>
          </w:p>
        </w:tc>
        <w:tc>
          <w:tcPr>
            <w:tcW w:type="dxa" w:w="2880"/>
          </w:tcPr>
          <w:p>
            <w:r>
              <w:t>Combinaison enseignement présentiel et numérique</w:t>
            </w:r>
          </w:p>
        </w:tc>
        <w:tc>
          <w:tcPr>
            <w:tcW w:type="dxa" w:w="2880"/>
          </w:tcPr>
          <w:p>
            <w:r>
              <w:t>Means et al. 2014</w:t>
            </w:r>
          </w:p>
        </w:tc>
      </w:tr>
      <w:tr>
        <w:tc>
          <w:tcPr>
            <w:tcW w:type="dxa" w:w="2880"/>
          </w:tcPr>
          <w:p>
            <w:r>
              <w:t>Engagement étudiant</w:t>
            </w:r>
          </w:p>
        </w:tc>
        <w:tc>
          <w:tcPr>
            <w:tcW w:type="dxa" w:w="2880"/>
          </w:tcPr>
          <w:p>
            <w:r>
              <w:t>Investissement académique des apprenants</w:t>
            </w:r>
          </w:p>
        </w:tc>
        <w:tc>
          <w:tcPr>
            <w:tcW w:type="dxa" w:w="2880"/>
          </w:tcPr>
          <w:p>
            <w:r>
              <w:t>Fredricks et al. 2004</w:t>
            </w:r>
          </w:p>
        </w:tc>
      </w:tr>
      <w:tr>
        <w:tc>
          <w:tcPr>
            <w:tcW w:type="dxa" w:w="2880"/>
          </w:tcPr>
          <w:p>
            <w:r>
              <w:t>Motivation intrinsèque</w:t>
            </w:r>
          </w:p>
        </w:tc>
        <w:tc>
          <w:tcPr>
            <w:tcW w:type="dxa" w:w="2880"/>
          </w:tcPr>
          <w:p>
            <w:r>
              <w:t>Apprentissage guidé par l’intérêt personnel</w:t>
            </w:r>
          </w:p>
        </w:tc>
        <w:tc>
          <w:tcPr>
            <w:tcW w:type="dxa" w:w="2880"/>
          </w:tcPr>
          <w:p>
            <w:r>
              <w:t>Deci &amp; Ryan 2000</w:t>
            </w:r>
          </w:p>
        </w:tc>
      </w:tr>
    </w:tbl>
    <w:p>
      <w:r>
        <w:br w:type="page"/>
      </w:r>
    </w:p>
    <w:p>
      <w:pPr>
        <w:pStyle w:val="Heading1"/>
      </w:pPr>
      <w:r>
        <w:rPr>
          <w:b/>
          <w:color w:val="022B4D"/>
          <w:sz w:val="40"/>
        </w:rPr>
        <w:t>Chapitre 3 – Méthodologie de recherche</w:t>
      </w:r>
    </w:p>
    <w:p>
      <w:pPr>
        <w:spacing w:after="160"/>
      </w:pPr>
      <w:r>
        <w:t>La méthodologie adoptée dans cette recherche repose sur une approche qualitative visant à comprendre les perceptions des étudiants concernant l’utilisation des technologies numériques.</w:t>
      </w:r>
    </w:p>
    <w:p>
      <w:pPr>
        <w:spacing w:after="160"/>
      </w:pPr>
      <w:r>
        <w:t>Les données ont été collectées à l’aide d’entretiens semi-directifs réalisés auprès d’étudiants issus de différentes disciplines universitaires.</w:t>
      </w:r>
    </w:p>
    <w:p>
      <w:pPr>
        <w:spacing w:after="160"/>
      </w:pPr>
      <w:r>
        <w:t>Cette méthode permet d’obtenir des informations détaillées sur les expériences individuelles des participants.</w:t>
      </w:r>
    </w:p>
    <w:p>
      <w:pPr>
        <w:spacing w:after="160"/>
      </w:pPr>
      <w:r>
        <w:t>Les données ont ensuite été analysées à l’aide d’une méthode d’analyse thématique afin d’identifier les tendances récurrentes dans les discours recueillis.</w:t>
      </w:r>
    </w:p>
    <w:p>
      <w:r>
        <w:br w:type="page"/>
      </w:r>
    </w:p>
    <w:p>
      <w:pPr>
        <w:pStyle w:val="Heading1"/>
      </w:pPr>
      <w:r>
        <w:rPr>
          <w:b/>
          <w:color w:val="022B4D"/>
          <w:sz w:val="40"/>
        </w:rPr>
        <w:t>Chapitre 4 – Analyse des résultats</w:t>
      </w:r>
    </w:p>
    <w:p>
      <w:pPr>
        <w:spacing w:after="160"/>
      </w:pPr>
      <w:r>
        <w:t>L’analyse des entretiens met en évidence plusieurs tendances importantes concernant l’utilisation des technologies numériques dans l’apprentissage universitaire.</w:t>
      </w:r>
    </w:p>
    <w:p>
      <w:pPr>
        <w:spacing w:after="160"/>
      </w:pPr>
      <w:r>
        <w:t>Les étudiants considèrent généralement les plateformes pédagogiques comme un outil facilitant l’accès aux ressources éducatives et la gestion de leur travail académique.</w:t>
      </w:r>
    </w:p>
    <w:p>
      <w:pPr>
        <w:spacing w:after="160"/>
      </w:pPr>
      <w:r>
        <w:t>Les forums de discussion et les outils collaboratifs contribuent également à renforcer les interactions entre les étudiants et les enseignants.</w:t>
      </w:r>
    </w:p>
    <w:p>
      <w:pPr>
        <w:spacing w:after="160"/>
      </w:pPr>
      <w:r>
        <w:t>Cependant, certains participants évoquent également des difficultés liées à la surcharge d’informations et à la nécessité de développer des compétences numériques spécifiques.</w:t>
      </w:r>
    </w:p>
    <w:p>
      <w:r>
        <w:br w:type="page"/>
      </w:r>
    </w:p>
    <w:p>
      <w:pPr>
        <w:pStyle w:val="Heading1"/>
      </w:pPr>
      <w:r>
        <w:rPr>
          <w:b/>
          <w:color w:val="022B4D"/>
          <w:sz w:val="40"/>
        </w:rPr>
        <w:t>Chapitre 5 – Discussion</w:t>
      </w:r>
    </w:p>
    <w:p>
      <w:pPr>
        <w:spacing w:after="160"/>
      </w:pPr>
      <w:r>
        <w:t>Les résultats obtenus confirment plusieurs conclusions observées dans la littérature scientifique. Les technologies numériques peuvent améliorer l’engagement étudiant lorsqu’elles sont intégrées de manière cohérente dans les stratégies pédagogiques.</w:t>
      </w:r>
    </w:p>
    <w:p>
      <w:pPr>
        <w:spacing w:after="160"/>
      </w:pPr>
      <w:r>
        <w:t>Toutefois, l’efficacité de ces dispositifs dépend fortement du rôle des enseignants dans la conception des activités pédagogiques et dans l’accompagnement des étudiants.</w:t>
      </w:r>
    </w:p>
    <w:p>
      <w:pPr>
        <w:spacing w:after="160"/>
      </w:pPr>
      <w:r>
        <w:t>Ces résultats montrent que l’intégration du numérique dans l’enseignement supérieur doit s’accompagner d’une réflexion pédagogique approfondie.</w:t>
      </w:r>
    </w:p>
    <w:p>
      <w:r>
        <w:br w:type="page"/>
      </w:r>
    </w:p>
    <w:p>
      <w:pPr>
        <w:pStyle w:val="Heading1"/>
      </w:pPr>
      <w:r>
        <w:rPr>
          <w:b/>
          <w:color w:val="022B4D"/>
          <w:sz w:val="40"/>
        </w:rPr>
        <w:t>Conclusion générale</w:t>
      </w:r>
    </w:p>
    <w:p>
      <w:pPr>
        <w:spacing w:after="160"/>
      </w:pPr>
      <w:r>
        <w:t>Ce mémoire a analysé l’impact des technologies numériques sur les pratiques d’apprentissage dans l’enseignement supérieur.</w:t>
      </w:r>
    </w:p>
    <w:p>
      <w:pPr>
        <w:spacing w:after="160"/>
      </w:pPr>
      <w:r>
        <w:t>Les résultats montrent que ces outils peuvent améliorer l’accès aux ressources pédagogiques et favoriser l’engagement des étudiants.</w:t>
      </w:r>
    </w:p>
    <w:p>
      <w:pPr>
        <w:spacing w:after="160"/>
      </w:pPr>
      <w:r>
        <w:t>Toutefois, leur efficacité dépend du contexte institutionnel et des stratégies pédagogiques mises en place.</w:t>
      </w:r>
    </w:p>
    <w:p>
      <w:pPr>
        <w:spacing w:after="160"/>
      </w:pPr>
      <w:r>
        <w:t>Les recherches futures pourraient approfondir l’étude des interactions entre technologies éducatives, pédagogies innovantes et réussite académique.</w:t>
      </w:r>
    </w:p>
    <w:p>
      <w:r>
        <w:br w:type="page"/>
      </w:r>
    </w:p>
    <w:p>
      <w:pPr>
        <w:pStyle w:val="Heading1"/>
      </w:pPr>
      <w:r>
        <w:rPr>
          <w:b/>
          <w:color w:val="022B4D"/>
          <w:sz w:val="40"/>
        </w:rPr>
        <w:t>Bibliographie</w:t>
      </w:r>
    </w:p>
    <w:p>
      <w:pPr>
        <w:spacing w:after="160"/>
      </w:pPr>
      <w:r>
        <w:t>Deci, E. &amp; Ryan, R. (2000). Intrinsic motivation and self‑determination in human behavior.</w:t>
      </w:r>
    </w:p>
    <w:p>
      <w:pPr>
        <w:spacing w:after="160"/>
      </w:pPr>
      <w:r>
        <w:t>Garrison, D. &amp; Anderson, T. (2003). E‑learning in the 21st century.</w:t>
      </w:r>
    </w:p>
    <w:p>
      <w:pPr>
        <w:spacing w:after="160"/>
      </w:pPr>
      <w:r>
        <w:t>Means, B. et al. (2014). Evaluation of evidence‑based practices in online learning.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