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030"/>
        <w:gridCol w:w="2268"/>
      </w:tblGrid>
      <w:tr>
        <w:tc>
          <w:tcPr>
            <w:tcW w:type="dxa" w:w="5213"/>
            <w:tcMar>
              <w:top w:w="100" w:type="dxa"/>
              <w:start w:w="140" w:type="dxa"/>
              <w:bottom w:w="100" w:type="dxa"/>
              <w:end w:w="140" w:type="dxa"/>
            </w:tcMar>
            <w:tcBorders>
              <w:top w:val="nil"/>
              <w:bottom w:val="nil"/>
              <w:left w:val="nil"/>
              <w:right w:val="nil"/>
            </w:tcBorders>
            <w:shd w:fill="17365D"/>
          </w:tcPr>
          <w:p>
            <w:r>
              <w:rPr>
                <w:rFonts w:ascii="Aptos Display" w:hAnsi="Aptos Display"/>
                <w:b/>
                <w:color w:val="FFFFFF"/>
                <w:sz w:val="34"/>
              </w:rPr>
              <w:t>FICHE DE PROJET</w:t>
              <w:br/>
              <w:t>OPERATIONNELLE</w:t>
            </w:r>
          </w:p>
          <w:p>
            <w:r>
              <w:rPr>
                <w:rFonts w:ascii="Aptos" w:hAnsi="Aptos"/>
                <w:b w:val="0"/>
                <w:color w:val="FFFFFF"/>
                <w:sz w:val="20"/>
              </w:rPr>
              <w:t>Exemple rempli avec orchestration des flux, flèches de circulation et pilotage transverse</w:t>
            </w:r>
          </w:p>
        </w:tc>
        <w:tc>
          <w:tcPr>
            <w:tcW w:type="dxa" w:w="5213"/>
            <w:tcMar>
              <w:top w:w="100" w:type="dxa"/>
              <w:start w:w="140" w:type="dxa"/>
              <w:bottom w:w="100" w:type="dxa"/>
              <w:end w:w="140" w:type="dxa"/>
            </w:tcMar>
            <w:tcBorders>
              <w:top w:val="nil"/>
              <w:bottom w:val="nil"/>
              <w:left w:val="nil"/>
              <w:right w:val="nil"/>
            </w:tcBorders>
            <w:shd w:fill="F2B705"/>
          </w:tcPr>
          <w:p>
            <w:pPr>
              <w:jc w:val="center"/>
            </w:pPr>
            <w:r>
              <w:rPr>
                <w:rFonts w:ascii="Aptos Display" w:hAnsi="Aptos Display"/>
                <w:b/>
                <w:color w:val="17365D"/>
                <w:sz w:val="30"/>
              </w:rPr>
              <w:t>Version</w:t>
              <w:br/>
              <w:t>premium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Intitulé du projet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Orchestration des flux de maintenance multi-sites</w:t>
            </w:r>
          </w:p>
        </w:tc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Porteur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Direction Performance &amp; Maintenance</w:t>
            </w:r>
          </w:p>
        </w:tc>
      </w:tr>
      <w:tr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Chef de projet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Nadia El Mansouri</w:t>
            </w:r>
          </w:p>
        </w:tc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Horizon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Avril 2026 - Septembre 2026</w:t>
            </w:r>
          </w:p>
        </w:tc>
      </w:tr>
      <w:tr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Contexte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Les demandes d’intervention circulent par e-mail, téléphone et messages dispersés, ce qui ralentit la priorisation et fragilise la traçabilité.</w:t>
            </w:r>
          </w:p>
        </w:tc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Finalité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Mettre en place un flux unique, visible et pilotable, depuis la demande initiale jusqu’au reporting de clôture.</w:t>
            </w:r>
          </w:p>
        </w:tc>
      </w:tr>
      <w:tr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Budget estimatif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148 000 MAD</w:t>
            </w:r>
          </w:p>
        </w:tc>
        <w:tc>
          <w:tcPr>
            <w:tcW w:type="dxa" w:w="2098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shd w:fill="DCE6F1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Statut</w:t>
            </w:r>
          </w:p>
        </w:tc>
        <w:tc>
          <w:tcPr>
            <w:tcW w:type="dxa" w:w="3175"/>
            <w:tcMar>
              <w:top w:w="80" w:type="dxa"/>
              <w:start w:w="100" w:type="dxa"/>
              <w:bottom w:w="80" w:type="dxa"/>
              <w:end w:w="100" w:type="dxa"/>
            </w:tcMar>
            <w:vAlign w:val="center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Projet validé - phase de cadrage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3"/>
            <w:tcMar>
              <w:top w:w="95" w:type="dxa"/>
              <w:start w:w="120" w:type="dxa"/>
              <w:bottom w:w="95" w:type="dxa"/>
              <w:end w:w="120" w:type="dxa"/>
            </w:tcMar>
            <w:tcBorders>
              <w:top w:val="single" w:sz="10" w:color="D9E2F3"/>
              <w:bottom w:val="single" w:sz="10" w:color="D9E2F3"/>
              <w:left w:val="single" w:sz="10" w:color="D9E2F3"/>
              <w:right w:val="single" w:sz="10" w:color="D9E2F3"/>
            </w:tcBorders>
            <w:shd w:fill="F8FBFF"/>
          </w:tcPr>
          <w:p>
            <w:r>
              <w:rPr>
                <w:b/>
                <w:color w:val="17365D"/>
                <w:sz w:val="23"/>
              </w:rPr>
              <w:t>Objectifs visés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Réduire de 35 % le délai moyen entre la demande et l’affectation.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Uniformiser les règles de priorité sur les 4 sites pilotes.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Sécuriser la traçabilité des validations, pièces et comptes rendus.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Produire un tableau de bord hebdomadaire directement exploitable.</w:t>
            </w:r>
          </w:p>
        </w:tc>
        <w:tc>
          <w:tcPr>
            <w:tcW w:type="dxa" w:w="5213"/>
            <w:tcMar>
              <w:top w:w="95" w:type="dxa"/>
              <w:start w:w="120" w:type="dxa"/>
              <w:bottom w:w="95" w:type="dxa"/>
              <w:end w:w="120" w:type="dxa"/>
            </w:tcMar>
            <w:tcBorders>
              <w:top w:val="single" w:sz="10" w:color="D9E2F3"/>
              <w:bottom w:val="single" w:sz="10" w:color="D9E2F3"/>
              <w:left w:val="single" w:sz="10" w:color="D9E2F3"/>
              <w:right w:val="single" w:sz="10" w:color="D9E2F3"/>
            </w:tcBorders>
            <w:shd w:fill="FFF9EB"/>
          </w:tcPr>
          <w:p>
            <w:r>
              <w:rPr>
                <w:b/>
                <w:color w:val="7F6000"/>
                <w:sz w:val="23"/>
              </w:rPr>
              <w:t>Livrables attendus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Matrice de flux cible avec points de validation.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Formulaire standard de demande et d’accusé de réception.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Circuit d’escalade avec seuils de temps et niveaux de décision.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Kit de pilotage : planning, KPI, risques, plan de communication.</w:t>
            </w:r>
          </w:p>
        </w:tc>
      </w:tr>
    </w:tbl>
    <w:p/>
    <w:p>
      <w:pPr>
        <w:spacing w:after="80"/>
      </w:pPr>
      <w:r>
        <w:rPr>
          <w:b/>
          <w:color w:val="17365D"/>
          <w:sz w:val="24"/>
        </w:rPr>
        <w:t>Schéma d’orchestration des flux</w:t>
      </w:r>
    </w:p>
    <w:p>
      <w:r>
        <w:drawing>
          <wp:inline xmlns:a="http://schemas.openxmlformats.org/drawingml/2006/main" xmlns:pic="http://schemas.openxmlformats.org/drawingml/2006/picture">
            <wp:extent cx="6048000" cy="2184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schema_orchestration_flux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8000" cy="2184000"/>
                    </a:xfrm>
                    <a:prstGeom prst="rect"/>
                  </pic:spPr>
                </pic:pic>
              </a:graphicData>
            </a:graphic>
          </wp:inline>
        </w:drawing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426"/>
      </w:tblGrid>
      <w:tr>
        <w:tc>
          <w:tcPr>
            <w:tcW w:type="dxa" w:w="10426"/>
            <w:shd w:fill="EEF4FF"/>
            <w:tcBorders>
              <w:top w:val="single" w:sz="8" w:color="B4C7E7"/>
              <w:bottom w:val="single" w:sz="8" w:color="B4C7E7"/>
              <w:left w:val="single" w:sz="8" w:color="B4C7E7"/>
              <w:right w:val="single" w:sz="8" w:color="B4C7E7"/>
            </w:tcBorders>
            <w:tcMar>
              <w:top w:w="75" w:type="dxa"/>
              <w:start w:w="110" w:type="dxa"/>
              <w:bottom w:w="75" w:type="dxa"/>
              <w:end w:w="110" w:type="dxa"/>
            </w:tcMar>
          </w:tcPr>
          <w:p>
            <w:r>
              <w:rPr>
                <w:rFonts w:ascii="Aptos" w:hAnsi="Aptos"/>
                <w:b w:val="0"/>
                <w:color w:val="1F1F1F"/>
                <w:sz w:val="19"/>
              </w:rPr>
              <w:t xml:space="preserve">Lecture du schéma : </w:t>
            </w:r>
            <w:r>
              <w:rPr>
                <w:rFonts w:ascii="Aptos" w:hAnsi="Aptos"/>
                <w:b w:val="0"/>
                <w:color w:val="1F1F1F"/>
                <w:sz w:val="19"/>
              </w:rPr>
              <w:t>les flèches bleues montrent le chemin nominal du flux. La flèche rouge matérialise le retour d’expérience après contrôle, afin de corriger les règles de qualification, de charge et de planification.</w:t>
            </w:r>
          </w:p>
        </w:tc>
      </w:tr>
    </w:tbl>
    <w:p/>
    <w:p>
      <w:pPr>
        <w:spacing w:before="60"/>
      </w:pPr>
      <w:r>
        <w:rPr>
          <w:b/>
          <w:color w:val="17365D"/>
          <w:sz w:val="28"/>
        </w:rPr>
        <w:t>Organisation du projet, planning et maîtrise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353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17365D"/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Bloc</w:t>
            </w:r>
          </w:p>
        </w:tc>
        <w:tc>
          <w:tcPr>
            <w:tcW w:type="dxa" w:w="275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17365D"/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Acteur principal</w:t>
            </w:r>
          </w:p>
        </w:tc>
        <w:tc>
          <w:tcPr>
            <w:tcW w:type="dxa" w:w="2466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17365D"/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Entrées / décisions</w:t>
            </w:r>
          </w:p>
        </w:tc>
        <w:tc>
          <w:tcPr>
            <w:tcW w:type="dxa" w:w="258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17365D"/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Sorties attendues</w:t>
            </w:r>
          </w:p>
        </w:tc>
      </w:tr>
      <w:tr>
        <w:tc>
          <w:tcPr>
            <w:tcW w:type="dxa" w:w="2353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EAF2FF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Cadrage</w:t>
            </w:r>
          </w:p>
        </w:tc>
        <w:tc>
          <w:tcPr>
            <w:tcW w:type="dxa" w:w="275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Chef de projet + direction</w:t>
            </w:r>
          </w:p>
        </w:tc>
        <w:tc>
          <w:tcPr>
            <w:tcW w:type="dxa" w:w="2466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Objectifs, contraintes, budget, sites pilotes</w:t>
            </w:r>
          </w:p>
        </w:tc>
        <w:tc>
          <w:tcPr>
            <w:tcW w:type="dxa" w:w="258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Charte projet validée</w:t>
            </w:r>
          </w:p>
        </w:tc>
      </w:tr>
      <w:tr>
        <w:tc>
          <w:tcPr>
            <w:tcW w:type="dxa" w:w="2353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FFF4DB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Conception du flux</w:t>
            </w:r>
          </w:p>
        </w:tc>
        <w:tc>
          <w:tcPr>
            <w:tcW w:type="dxa" w:w="275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PMO + méthodes</w:t>
            </w:r>
          </w:p>
        </w:tc>
        <w:tc>
          <w:tcPr>
            <w:tcW w:type="dxa" w:w="2466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Règles de priorité, points d’arrêt, SLA</w:t>
            </w:r>
          </w:p>
        </w:tc>
        <w:tc>
          <w:tcPr>
            <w:tcW w:type="dxa" w:w="258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Processus cible et rôles</w:t>
            </w:r>
          </w:p>
        </w:tc>
      </w:tr>
      <w:tr>
        <w:tc>
          <w:tcPr>
            <w:tcW w:type="dxa" w:w="2353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E7F7EE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Paramétrage</w:t>
            </w:r>
          </w:p>
        </w:tc>
        <w:tc>
          <w:tcPr>
            <w:tcW w:type="dxa" w:w="275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ERP / IT métier</w:t>
            </w:r>
          </w:p>
        </w:tc>
        <w:tc>
          <w:tcPr>
            <w:tcW w:type="dxa" w:w="2466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Formulaires, statuts, droits, notifications</w:t>
            </w:r>
          </w:p>
        </w:tc>
        <w:tc>
          <w:tcPr>
            <w:tcW w:type="dxa" w:w="258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Chaîne numérique prête</w:t>
            </w:r>
          </w:p>
        </w:tc>
      </w:tr>
      <w:tr>
        <w:tc>
          <w:tcPr>
            <w:tcW w:type="dxa" w:w="2353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F3ECFF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Déploiement</w:t>
            </w:r>
          </w:p>
        </w:tc>
        <w:tc>
          <w:tcPr>
            <w:tcW w:type="dxa" w:w="275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Responsables de site</w:t>
            </w:r>
          </w:p>
        </w:tc>
        <w:tc>
          <w:tcPr>
            <w:tcW w:type="dxa" w:w="2466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Formation, test, accompagnement terrain</w:t>
            </w:r>
          </w:p>
        </w:tc>
        <w:tc>
          <w:tcPr>
            <w:tcW w:type="dxa" w:w="258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Flux en production</w:t>
            </w:r>
          </w:p>
        </w:tc>
      </w:tr>
      <w:tr>
        <w:tc>
          <w:tcPr>
            <w:tcW w:type="dxa" w:w="2353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shd w:fill="FFECEF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/>
                <w:color w:val="17365D"/>
                <w:sz w:val="18"/>
              </w:rPr>
              <w:t>Pilotage</w:t>
            </w:r>
          </w:p>
        </w:tc>
        <w:tc>
          <w:tcPr>
            <w:tcW w:type="dxa" w:w="275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Comité mensuel</w:t>
            </w:r>
          </w:p>
        </w:tc>
        <w:tc>
          <w:tcPr>
            <w:tcW w:type="dxa" w:w="2466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KPI, incidents, écarts, actions</w:t>
            </w:r>
          </w:p>
        </w:tc>
        <w:tc>
          <w:tcPr>
            <w:tcW w:type="dxa" w:w="2580"/>
            <w:tcMar>
              <w:top w:w="78" w:type="dxa"/>
              <w:start w:w="95" w:type="dxa"/>
              <w:bottom w:w="78" w:type="dxa"/>
              <w:end w:w="95" w:type="dxa"/>
            </w:tcMar>
            <w:vAlign w:val="center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r>
              <w:rPr>
                <w:rFonts w:ascii="Aptos" w:hAnsi="Aptos"/>
                <w:b w:val="0"/>
                <w:color w:val="222222"/>
                <w:sz w:val="18"/>
              </w:rPr>
              <w:t>Décisions et arbitrages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3"/>
            <w:tcMar>
              <w:top w:w="85" w:type="dxa"/>
              <w:start w:w="110" w:type="dxa"/>
              <w:bottom w:w="85" w:type="dxa"/>
              <w:end w:w="110" w:type="dxa"/>
            </w:tcMar>
            <w:tcBorders>
              <w:top w:val="single" w:sz="10" w:color="D9E2F3"/>
              <w:bottom w:val="single" w:sz="10" w:color="D9E2F3"/>
              <w:left w:val="single" w:sz="10" w:color="D9E2F3"/>
              <w:right w:val="single" w:sz="10" w:color="D9E2F3"/>
            </w:tcBorders>
            <w:shd w:fill="F8FBFF"/>
          </w:tcPr>
          <w:p>
            <w:r>
              <w:rPr>
                <w:b/>
                <w:color w:val="17365D"/>
                <w:sz w:val="22"/>
              </w:rPr>
              <w:t>Planning synthétique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→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S1-S2 : cadrage, diagnostic terrain, validation des flux existants.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→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S3-S5 : conception cible, ateliers métier, matrice RACI.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→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S6-S8 : paramétrage, tests, corrections, formation des relais.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→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S9-S10 : bascule pilote, suivi rapproché, ajustements.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→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S11-S12 : extension aux sites restants et bilan de déploiement.</w:t>
            </w:r>
          </w:p>
        </w:tc>
        <w:tc>
          <w:tcPr>
            <w:tcW w:type="dxa" w:w="5213"/>
            <w:tcMar>
              <w:top w:w="85" w:type="dxa"/>
              <w:start w:w="110" w:type="dxa"/>
              <w:bottom w:w="85" w:type="dxa"/>
              <w:end w:w="110" w:type="dxa"/>
            </w:tcMar>
            <w:tcBorders>
              <w:top w:val="single" w:sz="10" w:color="D9E2F3"/>
              <w:bottom w:val="single" w:sz="10" w:color="D9E2F3"/>
              <w:left w:val="single" w:sz="10" w:color="D9E2F3"/>
              <w:right w:val="single" w:sz="10" w:color="D9E2F3"/>
            </w:tcBorders>
            <w:shd w:fill="FFF9EB"/>
          </w:tcPr>
          <w:p>
            <w:r>
              <w:rPr>
                <w:b/>
                <w:color w:val="7F6000"/>
                <w:sz w:val="22"/>
              </w:rPr>
              <w:t>Risques et leviers de maîtrise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Résistance au changement : démonstrations courtes et relais locaux.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Surcharge des équipes : déploiement par vagues et règles de priorité.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Données incomplètes : formulaires obligatoires et contrôles bloquants.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Écarts entre sites : référentiel commun et comité de synchronisation.</w:t>
            </w:r>
          </w:p>
          <w:p>
            <w:r>
              <w:rPr>
                <w:rFonts w:ascii="Aptos" w:hAnsi="Aptos"/>
                <w:b w:val="0"/>
                <w:color w:val="222222"/>
                <w:sz w:val="19"/>
              </w:rPr>
              <w:t xml:space="preserve">• </w:t>
            </w:r>
            <w:r>
              <w:rPr>
                <w:rFonts w:ascii="Aptos" w:hAnsi="Aptos"/>
                <w:b w:val="0"/>
                <w:color w:val="222222"/>
                <w:sz w:val="19"/>
              </w:rPr>
              <w:t>Retard IT : jalons hebdomadaires et arbitrage sponsor.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606"/>
        <w:gridCol w:w="2606"/>
        <w:gridCol w:w="2606"/>
        <w:gridCol w:w="2606"/>
      </w:tblGrid>
      <w:tr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17365D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KPI 1</w:t>
            </w:r>
          </w:p>
        </w:tc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17365D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KPI 2</w:t>
            </w:r>
          </w:p>
        </w:tc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17365D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KPI 3</w:t>
            </w:r>
          </w:p>
        </w:tc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17365D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FFFFFF"/>
                <w:sz w:val="18"/>
              </w:rPr>
              <w:t>KPI 4</w:t>
            </w:r>
          </w:p>
        </w:tc>
      </w:tr>
      <w:tr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EAF2FF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9"/>
              </w:rPr>
              <w:t>Délai d’affectation</w:t>
              <w:br/>
              <w:t>Cible : &lt; 8 h</w:t>
            </w:r>
          </w:p>
        </w:tc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E7F7EE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9"/>
              </w:rPr>
              <w:t>Demandes tracées</w:t>
              <w:br/>
              <w:t>Cible : 100 %</w:t>
            </w:r>
          </w:p>
        </w:tc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FFF4DB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9"/>
              </w:rPr>
              <w:t>Taux de clôture au SLA</w:t>
              <w:br/>
              <w:t>Cible : 92 %</w:t>
            </w:r>
          </w:p>
        </w:tc>
        <w:tc>
          <w:tcPr>
            <w:tcW w:type="dxa" w:w="2523"/>
            <w:tcMar>
              <w:top w:w="70" w:type="dxa"/>
              <w:start w:w="80" w:type="dxa"/>
              <w:bottom w:w="70" w:type="dxa"/>
              <w:end w:w="80" w:type="dxa"/>
            </w:tcMar>
            <w:vAlign w:val="center"/>
            <w:shd w:fill="FFECEF"/>
            <w:tcBorders>
              <w:top w:val="single" w:sz="8" w:color="D9E2F3"/>
              <w:bottom w:val="single" w:sz="8" w:color="D9E2F3"/>
              <w:left w:val="single" w:sz="8" w:color="D9E2F3"/>
              <w:right w:val="single" w:sz="8" w:color="D9E2F3"/>
            </w:tcBorders>
          </w:tcPr>
          <w:p>
            <w:pPr>
              <w:jc w:val="center"/>
            </w:pPr>
            <w:r>
              <w:rPr>
                <w:rFonts w:ascii="Aptos" w:hAnsi="Aptos"/>
                <w:b/>
                <w:color w:val="17365D"/>
                <w:sz w:val="19"/>
              </w:rPr>
              <w:t>Incidents récurrents</w:t>
              <w:br/>
              <w:t>Cible : - 25 %</w:t>
            </w:r>
          </w:p>
        </w:tc>
      </w:tr>
    </w:tbl>
    <w:sectPr w:rsidR="00FC693F" w:rsidRPr="0006063C" w:rsidSect="00034616">
      <w:pgSz w:w="12240" w:h="15840"/>
      <w:pgMar w:top="765" w:right="907" w:bottom="709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