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type="auto" w:w="0"/>
        <w:jc w:val="center"/>
        <w:tblLayout w:type="fixed"/>
        <w:tblLook w:firstColumn="1" w:firstRow="1" w:lastColumn="0" w:lastRow="0" w:noHBand="0" w:noVBand="1" w:val="04A0"/>
      </w:tblPr>
      <w:tblGrid>
        <w:gridCol w:w="9524"/>
      </w:tblGrid>
      <w:tr>
        <w:tc>
          <w:tcPr>
            <w:tcW w:type="dxa" w:w="10086"/>
            <w:shd w:fill="EAF2F8"/>
            <w:tcMar>
              <w:top w:w="180" w:type="dxa"/>
              <w:start w:w="180" w:type="dxa"/>
              <w:bottom w:w="180" w:type="dxa"/>
              <w:end w:w="180" w:type="dxa"/>
            </w:tcMar>
            <w:vAlign w:val="center"/>
          </w:tcPr>
          <w:p>
            <w:pPr>
              <w:jc w:val="center"/>
            </w:pPr>
            <w:r>
              <w:rPr>
                <w:b/>
                <w:color w:val="14355E"/>
                <w:sz w:val="38"/>
              </w:rPr>
              <w:t>Fiche d’analyse et de révision</w:t>
              <w:br/>
              <w:t>Les Contes de Terremer</w:t>
            </w:r>
          </w:p>
          <w:p>
            <w:pPr>
              <w:jc w:val="center"/>
            </w:pPr>
            <w:r>
              <w:rPr>
                <w:i/>
                <w:color w:val="5A6478"/>
                <w:sz w:val="21"/>
              </w:rPr>
              <w:t>Outil de lecture, de mémorisation et de préparation à la rédaction</w:t>
            </w:r>
          </w:p>
        </w:tc>
      </w:tr>
    </w:tbl>
    <w:p>
      <w:r/>
    </w:p>
    <w:tbl>
      <w:tblPr>
        <w:tblW w:type="auto" w:w="0"/>
        <w:jc w:val="center"/>
        <w:tblLayout w:type="fixed"/>
        <w:tblLook w:firstColumn="1" w:firstRow="1" w:lastColumn="0" w:lastRow="0" w:noHBand="0" w:noVBand="1" w:val="04A0"/>
      </w:tblPr>
      <w:tblGrid>
        <w:gridCol w:w="5043"/>
        <w:gridCol w:w="5043"/>
      </w:tblGrid>
      <w:tr>
        <w:tc>
          <w:tcPr>
            <w:tcW w:type="dxa" w:w="4592"/>
            <w:shd w:fill="F8FBFD"/>
            <w:tcMar>
              <w:top w:w="130" w:type="dxa"/>
              <w:start w:w="140" w:type="dxa"/>
              <w:bottom w:w="130" w:type="dxa"/>
              <w:end w:w="140" w:type="dxa"/>
            </w:tcMar>
            <w:vAlign w:val="center"/>
          </w:tcPr>
          <w:p>
            <w:r>
              <w:rPr>
                <w:b/>
                <w:color w:val="26587C"/>
                <w:sz w:val="23"/>
              </w:rPr>
              <w:t>Repères rapides</w:t>
            </w:r>
          </w:p>
          <w:p>
            <w:pPr>
              <w:spacing w:after="40"/>
              <w:ind w:left="198"/>
            </w:pPr>
            <w:r>
              <w:rPr>
                <w:sz w:val="20"/>
              </w:rPr>
              <w:t>• Auteur : Ursula K. Le Guin</w:t>
            </w:r>
          </w:p>
          <w:p>
            <w:pPr>
              <w:spacing w:after="40"/>
              <w:ind w:left="198"/>
            </w:pPr>
            <w:r>
              <w:rPr>
                <w:sz w:val="20"/>
              </w:rPr>
              <w:t>• Genre : fantasy philosophique</w:t>
            </w:r>
          </w:p>
          <w:p>
            <w:pPr>
              <w:spacing w:after="40"/>
              <w:ind w:left="198"/>
            </w:pPr>
            <w:r>
              <w:rPr>
                <w:sz w:val="20"/>
              </w:rPr>
              <w:t>• Type : cycle romanesque et recueil</w:t>
            </w:r>
          </w:p>
          <w:p>
            <w:pPr>
              <w:spacing w:after="40"/>
              <w:ind w:left="198"/>
            </w:pPr>
            <w:r>
              <w:rPr>
                <w:sz w:val="20"/>
              </w:rPr>
              <w:t>• Niveau : collège, lycée, lecture personnelle</w:t>
            </w:r>
          </w:p>
        </w:tc>
        <w:tc>
          <w:tcPr>
            <w:tcW w:type="dxa" w:w="4592"/>
            <w:shd w:fill="F8FBFD"/>
            <w:tcMar>
              <w:top w:w="130" w:type="dxa"/>
              <w:start w:w="140" w:type="dxa"/>
              <w:bottom w:w="130" w:type="dxa"/>
              <w:end w:w="140" w:type="dxa"/>
            </w:tcMar>
            <w:vAlign w:val="center"/>
          </w:tcPr>
          <w:p>
            <w:r>
              <w:rPr>
                <w:b/>
                <w:color w:val="26587C"/>
                <w:sz w:val="23"/>
              </w:rPr>
              <w:t>À retenir en une phrase</w:t>
            </w:r>
          </w:p>
          <w:p>
            <w:pPr>
              <w:spacing w:after="40"/>
              <w:ind w:left="198"/>
            </w:pPr>
            <w:r>
              <w:rPr>
                <w:sz w:val="20"/>
              </w:rPr>
              <w:t>• Terremer raconte moins une lutte contre un monstre qu’une conquête intérieure fondée sur la connaissance de soi, la mesure et l’équilibre.</w:t>
            </w:r>
          </w:p>
        </w:tc>
      </w:tr>
      <w:tr>
        <w:tc>
          <w:tcPr>
            <w:tcW w:type="dxa" w:w="4592"/>
            <w:shd w:fill="F8FBFD"/>
            <w:tcMar>
              <w:top w:w="130" w:type="dxa"/>
              <w:start w:w="140" w:type="dxa"/>
              <w:bottom w:w="130" w:type="dxa"/>
              <w:end w:w="140" w:type="dxa"/>
            </w:tcMar>
            <w:vAlign w:val="center"/>
          </w:tcPr>
          <w:p>
            <w:r>
              <w:rPr>
                <w:b/>
                <w:color w:val="26587C"/>
                <w:sz w:val="23"/>
              </w:rPr>
              <w:t>Mots-clés</w:t>
            </w:r>
          </w:p>
          <w:p>
            <w:pPr>
              <w:spacing w:after="40"/>
              <w:ind w:left="198"/>
            </w:pPr>
            <w:r>
              <w:rPr>
                <w:sz w:val="20"/>
              </w:rPr>
              <w:t>• Initiation</w:t>
            </w:r>
          </w:p>
          <w:p>
            <w:pPr>
              <w:spacing w:after="40"/>
              <w:ind w:left="198"/>
            </w:pPr>
            <w:r>
              <w:rPr>
                <w:sz w:val="20"/>
              </w:rPr>
              <w:t>• ombre</w:t>
            </w:r>
          </w:p>
          <w:p>
            <w:pPr>
              <w:spacing w:after="40"/>
              <w:ind w:left="198"/>
            </w:pPr>
            <w:r>
              <w:rPr>
                <w:sz w:val="20"/>
              </w:rPr>
              <w:t>• vrai nom</w:t>
            </w:r>
          </w:p>
          <w:p>
            <w:pPr>
              <w:spacing w:after="40"/>
              <w:ind w:left="198"/>
            </w:pPr>
            <w:r>
              <w:rPr>
                <w:sz w:val="20"/>
              </w:rPr>
              <w:t>• équilibre</w:t>
            </w:r>
          </w:p>
          <w:p>
            <w:pPr>
              <w:spacing w:after="40"/>
              <w:ind w:left="198"/>
            </w:pPr>
            <w:r>
              <w:rPr>
                <w:sz w:val="20"/>
              </w:rPr>
              <w:t>• sagesse</w:t>
            </w:r>
          </w:p>
          <w:p>
            <w:pPr>
              <w:spacing w:after="40"/>
              <w:ind w:left="198"/>
            </w:pPr>
            <w:r>
              <w:rPr>
                <w:sz w:val="20"/>
              </w:rPr>
              <w:t>• pouvoir</w:t>
            </w:r>
          </w:p>
          <w:p>
            <w:pPr>
              <w:spacing w:after="40"/>
              <w:ind w:left="198"/>
            </w:pPr>
            <w:r>
              <w:rPr>
                <w:sz w:val="20"/>
              </w:rPr>
              <w:t>• identité</w:t>
            </w:r>
          </w:p>
        </w:tc>
        <w:tc>
          <w:tcPr>
            <w:tcW w:type="dxa" w:w="4592"/>
            <w:shd w:fill="F8FBFD"/>
            <w:tcMar>
              <w:top w:w="130" w:type="dxa"/>
              <w:start w:w="140" w:type="dxa"/>
              <w:bottom w:w="130" w:type="dxa"/>
              <w:end w:w="140" w:type="dxa"/>
            </w:tcMar>
            <w:vAlign w:val="center"/>
          </w:tcPr>
          <w:p>
            <w:r>
              <w:rPr>
                <w:b/>
                <w:color w:val="26587C"/>
                <w:sz w:val="23"/>
              </w:rPr>
              <w:t>Utilité de la fiche</w:t>
            </w:r>
          </w:p>
          <w:p>
            <w:pPr>
              <w:spacing w:after="40"/>
              <w:ind w:left="198"/>
            </w:pPr>
            <w:r>
              <w:rPr>
                <w:sz w:val="20"/>
              </w:rPr>
              <w:t>• Comprendre l’œuvre, revoir les thèmes, préparer un exposé, construire une introduction, trouver des idées pour une conclusion.</w:t>
            </w:r>
          </w:p>
        </w:tc>
      </w:tr>
    </w:tbl>
    <w:p>
      <w:pPr>
        <w:pStyle w:val="Heading1"/>
      </w:pPr>
      <w:r>
        <w:t>1. Résumé clair de l’œuvre</w:t>
      </w:r>
    </w:p>
    <w:p>
      <w:pPr>
        <w:spacing w:line="240" w:lineRule="auto"/>
      </w:pPr>
      <w:r>
        <w:t>Ged, jeune garçon à la fois brillant et fier, découvre très tôt qu’il possède un don exceptionnel pour la magie. Son apprentissage le conduit vers les grands savoirs de Terremer, mais son orgueil le pousse à aller trop vite. En voulant prouver sa puissance, il libère une ombre redoutable qui le blesse puis le poursuit. Le récit devient alors un voyage à travers l’archipel, autant physique qu’intérieur. Ged doit comprendre que l’ennemi qu’il fuit est lié à lui-même. Sa victoire finale ne repose pas sur la destruction, mais sur la reconnaissance de sa part obscure et sur l’acceptation de sa propre vérité.</w:t>
      </w:r>
    </w:p>
    <w:p>
      <w:pPr>
        <w:pStyle w:val="Heading1"/>
      </w:pPr>
      <w:r>
        <w:t>2. Parcours du héros</w:t>
      </w:r>
    </w:p>
    <w:tbl>
      <w:tblPr>
        <w:tblStyle w:val="TableGrid"/>
        <w:tblW w:type="auto" w:w="0"/>
        <w:jc w:val="center"/>
        <w:tblLook w:firstColumn="1" w:firstRow="1" w:lastColumn="0" w:lastRow="0" w:noHBand="0" w:noVBand="1" w:val="04A0"/>
      </w:tblPr>
      <w:tblGrid>
        <w:gridCol w:w="3362"/>
        <w:gridCol w:w="3362"/>
        <w:gridCol w:w="3362"/>
      </w:tblGrid>
      <w:tr>
        <w:trPr>
          <w:tblHeader w:val="true"/>
        </w:trPr>
        <w:tc>
          <w:tcPr>
            <w:tcW w:type="dxa" w:w="2324"/>
            <w:shd w:fill="DCEAF7"/>
            <w:tcMar>
              <w:top w:w="110" w:type="dxa"/>
              <w:start w:w="110" w:type="dxa"/>
              <w:bottom w:w="110" w:type="dxa"/>
              <w:end w:w="110" w:type="dxa"/>
            </w:tcMar>
          </w:tcPr>
          <w:p>
            <w:pPr>
              <w:jc w:val="center"/>
            </w:pPr>
            <w:r>
              <w:rPr>
                <w:b/>
              </w:rPr>
              <w:t>Étape</w:t>
            </w:r>
          </w:p>
        </w:tc>
        <w:tc>
          <w:tcPr>
            <w:tcW w:type="dxa" w:w="3458"/>
            <w:shd w:fill="DCEAF7"/>
            <w:tcMar>
              <w:top w:w="110" w:type="dxa"/>
              <w:start w:w="110" w:type="dxa"/>
              <w:bottom w:w="110" w:type="dxa"/>
              <w:end w:w="110" w:type="dxa"/>
            </w:tcMar>
          </w:tcPr>
          <w:p>
            <w:pPr>
              <w:jc w:val="center"/>
            </w:pPr>
            <w:r>
              <w:rPr>
                <w:b/>
              </w:rPr>
              <w:t>Ce qui se passe</w:t>
            </w:r>
          </w:p>
        </w:tc>
        <w:tc>
          <w:tcPr>
            <w:tcW w:type="dxa" w:w="3402"/>
            <w:shd w:fill="DCEAF7"/>
            <w:tcMar>
              <w:top w:w="110" w:type="dxa"/>
              <w:start w:w="110" w:type="dxa"/>
              <w:bottom w:w="110" w:type="dxa"/>
              <w:end w:w="110" w:type="dxa"/>
            </w:tcMar>
          </w:tcPr>
          <w:p>
            <w:pPr>
              <w:jc w:val="center"/>
            </w:pPr>
            <w:r>
              <w:rPr>
                <w:b/>
              </w:rPr>
              <w:t>Sens littéraire</w:t>
            </w:r>
          </w:p>
        </w:tc>
      </w:tr>
      <w:tr>
        <w:tc>
          <w:tcPr>
            <w:tcW w:type="dxa" w:w="2324"/>
            <w:tcMar>
              <w:top w:w="110" w:type="dxa"/>
              <w:start w:w="110" w:type="dxa"/>
              <w:bottom w:w="110" w:type="dxa"/>
              <w:end w:w="110" w:type="dxa"/>
            </w:tcMar>
            <w:vAlign w:val="center"/>
          </w:tcPr>
          <w:p>
            <w:pPr>
              <w:jc w:val="center"/>
            </w:pPr>
            <w:r>
              <w:t>Découverte du don</w:t>
            </w:r>
          </w:p>
        </w:tc>
        <w:tc>
          <w:tcPr>
            <w:tcW w:type="dxa" w:w="3458"/>
            <w:tcMar>
              <w:top w:w="110" w:type="dxa"/>
              <w:start w:w="110" w:type="dxa"/>
              <w:bottom w:w="110" w:type="dxa"/>
              <w:end w:w="110" w:type="dxa"/>
            </w:tcMar>
            <w:vAlign w:val="center"/>
          </w:tcPr>
          <w:p>
            <w:pPr>
              <w:jc w:val="left"/>
            </w:pPr>
            <w:r>
              <w:t>Ged révèle très jeune un pouvoir inhabituel.</w:t>
            </w:r>
          </w:p>
        </w:tc>
        <w:tc>
          <w:tcPr>
            <w:tcW w:type="dxa" w:w="3402"/>
            <w:tcMar>
              <w:top w:w="110" w:type="dxa"/>
              <w:start w:w="110" w:type="dxa"/>
              <w:bottom w:w="110" w:type="dxa"/>
              <w:end w:w="110" w:type="dxa"/>
            </w:tcMar>
            <w:vAlign w:val="center"/>
          </w:tcPr>
          <w:p>
            <w:pPr>
              <w:jc w:val="left"/>
            </w:pPr>
            <w:r>
              <w:t>Naissance d’un destin exceptionnel.</w:t>
            </w:r>
          </w:p>
        </w:tc>
      </w:tr>
      <w:tr>
        <w:tc>
          <w:tcPr>
            <w:tcW w:type="dxa" w:w="2324"/>
            <w:tcMar>
              <w:top w:w="110" w:type="dxa"/>
              <w:start w:w="110" w:type="dxa"/>
              <w:bottom w:w="110" w:type="dxa"/>
              <w:end w:w="110" w:type="dxa"/>
            </w:tcMar>
            <w:vAlign w:val="center"/>
          </w:tcPr>
          <w:p>
            <w:pPr>
              <w:jc w:val="center"/>
            </w:pPr>
            <w:r>
              <w:t>Apprentissage</w:t>
            </w:r>
          </w:p>
        </w:tc>
        <w:tc>
          <w:tcPr>
            <w:tcW w:type="dxa" w:w="3458"/>
            <w:tcMar>
              <w:top w:w="110" w:type="dxa"/>
              <w:start w:w="110" w:type="dxa"/>
              <w:bottom w:w="110" w:type="dxa"/>
              <w:end w:w="110" w:type="dxa"/>
            </w:tcMar>
            <w:vAlign w:val="center"/>
          </w:tcPr>
          <w:p>
            <w:pPr>
              <w:jc w:val="left"/>
            </w:pPr>
            <w:r>
              <w:t>Il entre dans une formation magique structurée.</w:t>
            </w:r>
          </w:p>
        </w:tc>
        <w:tc>
          <w:tcPr>
            <w:tcW w:type="dxa" w:w="3402"/>
            <w:tcMar>
              <w:top w:w="110" w:type="dxa"/>
              <w:start w:w="110" w:type="dxa"/>
              <w:bottom w:w="110" w:type="dxa"/>
              <w:end w:w="110" w:type="dxa"/>
            </w:tcMar>
            <w:vAlign w:val="center"/>
          </w:tcPr>
          <w:p>
            <w:pPr>
              <w:jc w:val="left"/>
            </w:pPr>
            <w:r>
              <w:t>Accès au savoir, mais aussi mise à l’épreuve.</w:t>
            </w:r>
          </w:p>
        </w:tc>
      </w:tr>
      <w:tr>
        <w:tc>
          <w:tcPr>
            <w:tcW w:type="dxa" w:w="2324"/>
            <w:tcMar>
              <w:top w:w="110" w:type="dxa"/>
              <w:start w:w="110" w:type="dxa"/>
              <w:bottom w:w="110" w:type="dxa"/>
              <w:end w:w="110" w:type="dxa"/>
            </w:tcMar>
            <w:vAlign w:val="center"/>
          </w:tcPr>
          <w:p>
            <w:pPr>
              <w:jc w:val="center"/>
            </w:pPr>
            <w:r>
              <w:t>Faute d’orgueil</w:t>
            </w:r>
          </w:p>
        </w:tc>
        <w:tc>
          <w:tcPr>
            <w:tcW w:type="dxa" w:w="3458"/>
            <w:tcMar>
              <w:top w:w="110" w:type="dxa"/>
              <w:start w:w="110" w:type="dxa"/>
              <w:bottom w:w="110" w:type="dxa"/>
              <w:end w:w="110" w:type="dxa"/>
            </w:tcMar>
            <w:vAlign w:val="center"/>
          </w:tcPr>
          <w:p>
            <w:pPr>
              <w:jc w:val="left"/>
            </w:pPr>
            <w:r>
              <w:t>Il invoque des forces qu’il ne maîtrise pas.</w:t>
            </w:r>
          </w:p>
        </w:tc>
        <w:tc>
          <w:tcPr>
            <w:tcW w:type="dxa" w:w="3402"/>
            <w:tcMar>
              <w:top w:w="110" w:type="dxa"/>
              <w:start w:w="110" w:type="dxa"/>
              <w:bottom w:w="110" w:type="dxa"/>
              <w:end w:w="110" w:type="dxa"/>
            </w:tcMar>
            <w:vAlign w:val="center"/>
          </w:tcPr>
          <w:p>
            <w:pPr>
              <w:jc w:val="left"/>
            </w:pPr>
            <w:r>
              <w:t>La démesure provoque le déséquilibre.</w:t>
            </w:r>
          </w:p>
        </w:tc>
      </w:tr>
      <w:tr>
        <w:tc>
          <w:tcPr>
            <w:tcW w:type="dxa" w:w="2324"/>
            <w:tcMar>
              <w:top w:w="110" w:type="dxa"/>
              <w:start w:w="110" w:type="dxa"/>
              <w:bottom w:w="110" w:type="dxa"/>
              <w:end w:w="110" w:type="dxa"/>
            </w:tcMar>
            <w:vAlign w:val="center"/>
          </w:tcPr>
          <w:p>
            <w:pPr>
              <w:jc w:val="center"/>
            </w:pPr>
            <w:r>
              <w:t>Peur et fuite</w:t>
            </w:r>
          </w:p>
        </w:tc>
        <w:tc>
          <w:tcPr>
            <w:tcW w:type="dxa" w:w="3458"/>
            <w:tcMar>
              <w:top w:w="110" w:type="dxa"/>
              <w:start w:w="110" w:type="dxa"/>
              <w:bottom w:w="110" w:type="dxa"/>
              <w:end w:w="110" w:type="dxa"/>
            </w:tcMar>
            <w:vAlign w:val="center"/>
          </w:tcPr>
          <w:p>
            <w:pPr>
              <w:jc w:val="left"/>
            </w:pPr>
            <w:r>
              <w:t>L’ombre le pourchasse à travers Terremer.</w:t>
            </w:r>
          </w:p>
        </w:tc>
        <w:tc>
          <w:tcPr>
            <w:tcW w:type="dxa" w:w="3402"/>
            <w:tcMar>
              <w:top w:w="110" w:type="dxa"/>
              <w:start w:w="110" w:type="dxa"/>
              <w:bottom w:w="110" w:type="dxa"/>
              <w:end w:w="110" w:type="dxa"/>
            </w:tcMar>
            <w:vAlign w:val="center"/>
          </w:tcPr>
          <w:p>
            <w:pPr>
              <w:jc w:val="left"/>
            </w:pPr>
            <w:r>
              <w:t>Le héros affronte sa part cachée.</w:t>
            </w:r>
          </w:p>
        </w:tc>
      </w:tr>
      <w:tr>
        <w:tc>
          <w:tcPr>
            <w:tcW w:type="dxa" w:w="2324"/>
            <w:tcMar>
              <w:top w:w="110" w:type="dxa"/>
              <w:start w:w="110" w:type="dxa"/>
              <w:bottom w:w="110" w:type="dxa"/>
              <w:end w:w="110" w:type="dxa"/>
            </w:tcMar>
            <w:vAlign w:val="center"/>
          </w:tcPr>
          <w:p>
            <w:pPr>
              <w:jc w:val="center"/>
            </w:pPr>
            <w:r>
              <w:t>Confrontation finale</w:t>
            </w:r>
          </w:p>
        </w:tc>
        <w:tc>
          <w:tcPr>
            <w:tcW w:type="dxa" w:w="3458"/>
            <w:tcMar>
              <w:top w:w="110" w:type="dxa"/>
              <w:start w:w="110" w:type="dxa"/>
              <w:bottom w:w="110" w:type="dxa"/>
              <w:end w:w="110" w:type="dxa"/>
            </w:tcMar>
            <w:vAlign w:val="center"/>
          </w:tcPr>
          <w:p>
            <w:pPr>
              <w:jc w:val="left"/>
            </w:pPr>
            <w:r>
              <w:t>Ged cesse de fuir et nomme l’ombre.</w:t>
            </w:r>
          </w:p>
        </w:tc>
        <w:tc>
          <w:tcPr>
            <w:tcW w:type="dxa" w:w="3402"/>
            <w:tcMar>
              <w:top w:w="110" w:type="dxa"/>
              <w:start w:w="110" w:type="dxa"/>
              <w:bottom w:w="110" w:type="dxa"/>
              <w:end w:w="110" w:type="dxa"/>
            </w:tcMar>
            <w:vAlign w:val="center"/>
          </w:tcPr>
          <w:p>
            <w:pPr>
              <w:jc w:val="left"/>
            </w:pPr>
            <w:r>
              <w:t>La connaissance de soi vaut plus que la force brute.</w:t>
            </w:r>
          </w:p>
        </w:tc>
      </w:tr>
    </w:tbl>
    <w:p>
      <w:pPr>
        <w:pStyle w:val="Heading1"/>
      </w:pPr>
      <w:r>
        <w:t>3. Thèmes majeurs à connaître</w:t>
      </w:r>
    </w:p>
    <w:tbl>
      <w:tblPr>
        <w:tblW w:type="auto" w:w="0"/>
        <w:jc w:val="center"/>
        <w:tblLayout w:type="fixed"/>
        <w:tblLook w:firstColumn="1" w:firstRow="1" w:lastColumn="0" w:lastRow="0" w:noHBand="0" w:noVBand="1" w:val="04A0"/>
      </w:tblPr>
      <w:tblGrid>
        <w:gridCol w:w="9298"/>
      </w:tblGrid>
      <w:tr>
        <w:tc>
          <w:tcPr>
            <w:tcW w:type="dxa" w:w="10086"/>
            <w:shd w:fill="F8FBFD"/>
            <w:tcMar>
              <w:top w:w="100" w:type="dxa"/>
              <w:start w:w="120" w:type="dxa"/>
              <w:bottom w:w="100" w:type="dxa"/>
              <w:end w:w="120" w:type="dxa"/>
            </w:tcMar>
          </w:tcPr>
          <w:p>
            <w:r>
              <w:rPr>
                <w:b/>
                <w:color w:val="26587C"/>
              </w:rPr>
              <w:t xml:space="preserve">L’identité : </w:t>
            </w:r>
            <w:r>
              <w:t>Ged grandit lorsqu’il cesse de chercher seulement le prestige et qu’il apprend à se connaître avec lucidité.</w:t>
            </w:r>
          </w:p>
        </w:tc>
      </w:tr>
    </w:tbl>
    <w:p/>
    <w:tbl>
      <w:tblPr>
        <w:tblW w:type="auto" w:w="0"/>
        <w:jc w:val="center"/>
        <w:tblLayout w:type="fixed"/>
        <w:tblLook w:firstColumn="1" w:firstRow="1" w:lastColumn="0" w:lastRow="0" w:noHBand="0" w:noVBand="1" w:val="04A0"/>
      </w:tblPr>
      <w:tblGrid>
        <w:gridCol w:w="9298"/>
      </w:tblGrid>
      <w:tr>
        <w:tc>
          <w:tcPr>
            <w:tcW w:type="dxa" w:w="10086"/>
            <w:shd w:fill="F8FBFD"/>
            <w:tcMar>
              <w:top w:w="100" w:type="dxa"/>
              <w:start w:w="120" w:type="dxa"/>
              <w:bottom w:w="100" w:type="dxa"/>
              <w:end w:w="120" w:type="dxa"/>
            </w:tcMar>
          </w:tcPr>
          <w:p>
            <w:r>
              <w:rPr>
                <w:b/>
                <w:color w:val="26587C"/>
              </w:rPr>
              <w:t xml:space="preserve">Le pouvoir : </w:t>
            </w:r>
            <w:r>
              <w:t>Le roman montre qu’un pouvoir sans sagesse devient dangereux. La vraie grandeur vient de la maîtrise de soi.</w:t>
            </w:r>
          </w:p>
        </w:tc>
      </w:tr>
    </w:tbl>
    <w:p/>
    <w:tbl>
      <w:tblPr>
        <w:tblW w:type="auto" w:w="0"/>
        <w:jc w:val="center"/>
        <w:tblLayout w:type="fixed"/>
        <w:tblLook w:firstColumn="1" w:firstRow="1" w:lastColumn="0" w:lastRow="0" w:noHBand="0" w:noVBand="1" w:val="04A0"/>
      </w:tblPr>
      <w:tblGrid>
        <w:gridCol w:w="9298"/>
      </w:tblGrid>
      <w:tr>
        <w:tc>
          <w:tcPr>
            <w:tcW w:type="dxa" w:w="10086"/>
            <w:shd w:fill="F8FBFD"/>
            <w:tcMar>
              <w:top w:w="100" w:type="dxa"/>
              <w:start w:w="120" w:type="dxa"/>
              <w:bottom w:w="100" w:type="dxa"/>
              <w:end w:w="120" w:type="dxa"/>
            </w:tcMar>
          </w:tcPr>
          <w:p>
            <w:r>
              <w:rPr>
                <w:b/>
                <w:color w:val="26587C"/>
              </w:rPr>
              <w:t xml:space="preserve">Le langage : </w:t>
            </w:r>
            <w:r>
              <w:t>Dans Terremer, connaître le vrai nom des choses permet d’agir sur le réel. La parole devient donc une responsabilité.</w:t>
            </w:r>
          </w:p>
        </w:tc>
      </w:tr>
    </w:tbl>
    <w:p/>
    <w:tbl>
      <w:tblPr>
        <w:tblW w:type="auto" w:w="0"/>
        <w:jc w:val="center"/>
        <w:tblLayout w:type="fixed"/>
        <w:tblLook w:firstColumn="1" w:firstRow="1" w:lastColumn="0" w:lastRow="0" w:noHBand="0" w:noVBand="1" w:val="04A0"/>
      </w:tblPr>
      <w:tblGrid>
        <w:gridCol w:w="9298"/>
      </w:tblGrid>
      <w:tr>
        <w:tc>
          <w:tcPr>
            <w:tcW w:type="dxa" w:w="10086"/>
            <w:shd w:fill="F8FBFD"/>
            <w:tcMar>
              <w:top w:w="100" w:type="dxa"/>
              <w:start w:w="120" w:type="dxa"/>
              <w:bottom w:w="100" w:type="dxa"/>
              <w:end w:w="120" w:type="dxa"/>
            </w:tcMar>
          </w:tcPr>
          <w:p>
            <w:r>
              <w:rPr>
                <w:b/>
                <w:color w:val="26587C"/>
              </w:rPr>
              <w:t xml:space="preserve">L’équilibre : </w:t>
            </w:r>
            <w:r>
              <w:t>Toute action a des effets. Le monde exige mesure, prudence et respect des forces invisibles qui le traversent.</w:t>
            </w:r>
          </w:p>
        </w:tc>
      </w:tr>
    </w:tbl>
    <w:p/>
    <w:tbl>
      <w:tblPr>
        <w:tblW w:type="auto" w:w="0"/>
        <w:jc w:val="center"/>
        <w:tblLayout w:type="fixed"/>
        <w:tblLook w:firstColumn="1" w:firstRow="1" w:lastColumn="0" w:lastRow="0" w:noHBand="0" w:noVBand="1" w:val="04A0"/>
      </w:tblPr>
      <w:tblGrid>
        <w:gridCol w:w="9298"/>
      </w:tblGrid>
      <w:tr>
        <w:tc>
          <w:tcPr>
            <w:tcW w:type="dxa" w:w="10086"/>
            <w:shd w:fill="F8FBFD"/>
            <w:tcMar>
              <w:top w:w="100" w:type="dxa"/>
              <w:start w:w="120" w:type="dxa"/>
              <w:bottom w:w="100" w:type="dxa"/>
              <w:end w:w="120" w:type="dxa"/>
            </w:tcMar>
          </w:tcPr>
          <w:p>
            <w:r>
              <w:rPr>
                <w:b/>
                <w:color w:val="26587C"/>
              </w:rPr>
              <w:t xml:space="preserve">L’ombre : </w:t>
            </w:r>
            <w:r>
              <w:t>L’adversaire principal symbolise la peur, l’orgueil et la part obscure que chacun porte en soi.</w:t>
            </w:r>
          </w:p>
        </w:tc>
      </w:tr>
    </w:tbl>
    <w:p/>
    <w:tbl>
      <w:tblPr>
        <w:tblW w:type="auto" w:w="0"/>
        <w:jc w:val="center"/>
        <w:tblLayout w:type="fixed"/>
        <w:tblLook w:firstColumn="1" w:firstRow="1" w:lastColumn="0" w:lastRow="0" w:noHBand="0" w:noVBand="1" w:val="04A0"/>
      </w:tblPr>
      <w:tblGrid>
        <w:gridCol w:w="9298"/>
      </w:tblGrid>
      <w:tr>
        <w:tc>
          <w:tcPr>
            <w:tcW w:type="dxa" w:w="10086"/>
            <w:shd w:fill="F8FBFD"/>
            <w:tcMar>
              <w:top w:w="100" w:type="dxa"/>
              <w:start w:w="120" w:type="dxa"/>
              <w:bottom w:w="100" w:type="dxa"/>
              <w:end w:w="120" w:type="dxa"/>
            </w:tcMar>
          </w:tcPr>
          <w:p>
            <w:r>
              <w:rPr>
                <w:b/>
                <w:color w:val="26587C"/>
              </w:rPr>
              <w:t xml:space="preserve">La maturité : </w:t>
            </w:r>
            <w:r>
              <w:t>Le parcours du héros est une initiation. Il passe de l’élan impulsif à la sagesse intérieure.</w:t>
            </w:r>
          </w:p>
        </w:tc>
      </w:tr>
    </w:tbl>
    <w:p/>
    <w:p>
      <w:pPr>
        <w:pStyle w:val="Heading1"/>
      </w:pPr>
      <w:r>
        <w:t>4. Personnages essentiels</w:t>
      </w:r>
    </w:p>
    <w:tbl>
      <w:tblPr>
        <w:tblStyle w:val="TableGrid"/>
        <w:tblW w:type="auto" w:w="0"/>
        <w:jc w:val="center"/>
        <w:tblLook w:firstColumn="1" w:firstRow="1" w:lastColumn="0" w:lastRow="0" w:noHBand="0" w:noVBand="1" w:val="04A0"/>
      </w:tblPr>
      <w:tblGrid>
        <w:gridCol w:w="3362"/>
        <w:gridCol w:w="3362"/>
        <w:gridCol w:w="3362"/>
      </w:tblGrid>
      <w:tr>
        <w:trPr>
          <w:tblHeader w:val="true"/>
        </w:trPr>
        <w:tc>
          <w:tcPr>
            <w:tcW w:type="dxa" w:w="1871"/>
            <w:shd w:fill="DCEAF7"/>
            <w:tcMar>
              <w:top w:w="100" w:type="dxa"/>
              <w:start w:w="120" w:type="dxa"/>
              <w:bottom w:w="100" w:type="dxa"/>
              <w:end w:w="120" w:type="dxa"/>
            </w:tcMar>
          </w:tcPr>
          <w:p>
            <w:pPr>
              <w:jc w:val="center"/>
            </w:pPr>
            <w:r>
              <w:rPr>
                <w:b/>
              </w:rPr>
              <w:t>Personnage</w:t>
            </w:r>
          </w:p>
        </w:tc>
        <w:tc>
          <w:tcPr>
            <w:tcW w:type="dxa" w:w="2835"/>
            <w:shd w:fill="DCEAF7"/>
            <w:tcMar>
              <w:top w:w="100" w:type="dxa"/>
              <w:start w:w="120" w:type="dxa"/>
              <w:bottom w:w="100" w:type="dxa"/>
              <w:end w:w="120" w:type="dxa"/>
            </w:tcMar>
          </w:tcPr>
          <w:p>
            <w:pPr>
              <w:jc w:val="center"/>
            </w:pPr>
            <w:r>
              <w:rPr>
                <w:b/>
              </w:rPr>
              <w:t>Rôle</w:t>
            </w:r>
          </w:p>
        </w:tc>
        <w:tc>
          <w:tcPr>
            <w:tcW w:type="dxa" w:w="4592"/>
            <w:shd w:fill="DCEAF7"/>
            <w:tcMar>
              <w:top w:w="100" w:type="dxa"/>
              <w:start w:w="120" w:type="dxa"/>
              <w:bottom w:w="100" w:type="dxa"/>
              <w:end w:w="120" w:type="dxa"/>
            </w:tcMar>
          </w:tcPr>
          <w:p>
            <w:pPr>
              <w:jc w:val="center"/>
            </w:pPr>
            <w:r>
              <w:rPr>
                <w:b/>
              </w:rPr>
              <w:t>Ce qu’il représente</w:t>
            </w:r>
          </w:p>
        </w:tc>
      </w:tr>
      <w:tr>
        <w:tc>
          <w:tcPr>
            <w:tcW w:type="dxa" w:w="1871"/>
            <w:tcMar>
              <w:top w:w="100" w:type="dxa"/>
              <w:start w:w="120" w:type="dxa"/>
              <w:bottom w:w="100" w:type="dxa"/>
              <w:end w:w="120" w:type="dxa"/>
            </w:tcMar>
            <w:vAlign w:val="center"/>
          </w:tcPr>
          <w:p>
            <w:pPr>
              <w:jc w:val="center"/>
            </w:pPr>
            <w:r>
              <w:t>Ged</w:t>
            </w:r>
          </w:p>
        </w:tc>
        <w:tc>
          <w:tcPr>
            <w:tcW w:type="dxa" w:w="2835"/>
            <w:tcMar>
              <w:top w:w="100" w:type="dxa"/>
              <w:start w:w="120" w:type="dxa"/>
              <w:bottom w:w="100" w:type="dxa"/>
              <w:end w:w="120" w:type="dxa"/>
            </w:tcMar>
            <w:vAlign w:val="center"/>
          </w:tcPr>
          <w:p>
            <w:pPr>
              <w:jc w:val="center"/>
            </w:pPr>
            <w:r>
              <w:t>Mage et héros principal</w:t>
            </w:r>
          </w:p>
        </w:tc>
        <w:tc>
          <w:tcPr>
            <w:tcW w:type="dxa" w:w="4592"/>
            <w:tcMar>
              <w:top w:w="100" w:type="dxa"/>
              <w:start w:w="120" w:type="dxa"/>
              <w:bottom w:w="100" w:type="dxa"/>
              <w:end w:w="120" w:type="dxa"/>
            </w:tcMar>
            <w:vAlign w:val="center"/>
          </w:tcPr>
          <w:p>
            <w:pPr>
              <w:jc w:val="left"/>
            </w:pPr>
            <w:r>
              <w:t>La quête de soi, la faute, la réparation et l’accès à la sagesse.</w:t>
            </w:r>
          </w:p>
        </w:tc>
      </w:tr>
      <w:tr>
        <w:tc>
          <w:tcPr>
            <w:tcW w:type="dxa" w:w="1871"/>
            <w:tcMar>
              <w:top w:w="100" w:type="dxa"/>
              <w:start w:w="120" w:type="dxa"/>
              <w:bottom w:w="100" w:type="dxa"/>
              <w:end w:w="120" w:type="dxa"/>
            </w:tcMar>
            <w:vAlign w:val="center"/>
          </w:tcPr>
          <w:p>
            <w:pPr>
              <w:jc w:val="center"/>
            </w:pPr>
            <w:r>
              <w:t>Ogion</w:t>
            </w:r>
          </w:p>
        </w:tc>
        <w:tc>
          <w:tcPr>
            <w:tcW w:type="dxa" w:w="2835"/>
            <w:tcMar>
              <w:top w:w="100" w:type="dxa"/>
              <w:start w:w="120" w:type="dxa"/>
              <w:bottom w:w="100" w:type="dxa"/>
              <w:end w:w="120" w:type="dxa"/>
            </w:tcMar>
            <w:vAlign w:val="center"/>
          </w:tcPr>
          <w:p>
            <w:pPr>
              <w:jc w:val="center"/>
            </w:pPr>
            <w:r>
              <w:t>Maître de Ged</w:t>
            </w:r>
          </w:p>
        </w:tc>
        <w:tc>
          <w:tcPr>
            <w:tcW w:type="dxa" w:w="4592"/>
            <w:tcMar>
              <w:top w:w="100" w:type="dxa"/>
              <w:start w:w="120" w:type="dxa"/>
              <w:bottom w:w="100" w:type="dxa"/>
              <w:end w:w="120" w:type="dxa"/>
            </w:tcMar>
            <w:vAlign w:val="center"/>
          </w:tcPr>
          <w:p>
            <w:pPr>
              <w:jc w:val="left"/>
            </w:pPr>
            <w:r>
              <w:t>Le silence, la patience, l’attention au réel et la profondeur sans éclat.</w:t>
            </w:r>
          </w:p>
        </w:tc>
      </w:tr>
      <w:tr>
        <w:tc>
          <w:tcPr>
            <w:tcW w:type="dxa" w:w="1871"/>
            <w:tcMar>
              <w:top w:w="100" w:type="dxa"/>
              <w:start w:w="120" w:type="dxa"/>
              <w:bottom w:w="100" w:type="dxa"/>
              <w:end w:w="120" w:type="dxa"/>
            </w:tcMar>
            <w:vAlign w:val="center"/>
          </w:tcPr>
          <w:p>
            <w:pPr>
              <w:jc w:val="center"/>
            </w:pPr>
            <w:r>
              <w:t>Tenar</w:t>
            </w:r>
          </w:p>
        </w:tc>
        <w:tc>
          <w:tcPr>
            <w:tcW w:type="dxa" w:w="2835"/>
            <w:tcMar>
              <w:top w:w="100" w:type="dxa"/>
              <w:start w:w="120" w:type="dxa"/>
              <w:bottom w:w="100" w:type="dxa"/>
              <w:end w:w="120" w:type="dxa"/>
            </w:tcMar>
            <w:vAlign w:val="center"/>
          </w:tcPr>
          <w:p>
            <w:pPr>
              <w:jc w:val="center"/>
            </w:pPr>
            <w:r>
              <w:t>Figure majeure du cycle</w:t>
            </w:r>
          </w:p>
        </w:tc>
        <w:tc>
          <w:tcPr>
            <w:tcW w:type="dxa" w:w="4592"/>
            <w:tcMar>
              <w:top w:w="100" w:type="dxa"/>
              <w:start w:w="120" w:type="dxa"/>
              <w:bottom w:w="100" w:type="dxa"/>
              <w:end w:w="120" w:type="dxa"/>
            </w:tcMar>
            <w:vAlign w:val="center"/>
          </w:tcPr>
          <w:p>
            <w:pPr>
              <w:jc w:val="left"/>
            </w:pPr>
            <w:r>
              <w:t>La libération, l’émancipation et la reconquête de l’identité.</w:t>
            </w:r>
          </w:p>
        </w:tc>
      </w:tr>
      <w:tr>
        <w:tc>
          <w:tcPr>
            <w:tcW w:type="dxa" w:w="1871"/>
            <w:tcMar>
              <w:top w:w="100" w:type="dxa"/>
              <w:start w:w="120" w:type="dxa"/>
              <w:bottom w:w="100" w:type="dxa"/>
              <w:end w:w="120" w:type="dxa"/>
            </w:tcMar>
            <w:vAlign w:val="center"/>
          </w:tcPr>
          <w:p>
            <w:pPr>
              <w:jc w:val="center"/>
            </w:pPr>
            <w:r>
              <w:t>Arren</w:t>
            </w:r>
          </w:p>
        </w:tc>
        <w:tc>
          <w:tcPr>
            <w:tcW w:type="dxa" w:w="2835"/>
            <w:tcMar>
              <w:top w:w="100" w:type="dxa"/>
              <w:start w:w="120" w:type="dxa"/>
              <w:bottom w:w="100" w:type="dxa"/>
              <w:end w:w="120" w:type="dxa"/>
            </w:tcMar>
            <w:vAlign w:val="center"/>
          </w:tcPr>
          <w:p>
            <w:pPr>
              <w:jc w:val="center"/>
            </w:pPr>
            <w:r>
              <w:t>Jeune prince</w:t>
            </w:r>
          </w:p>
        </w:tc>
        <w:tc>
          <w:tcPr>
            <w:tcW w:type="dxa" w:w="4592"/>
            <w:tcMar>
              <w:top w:w="100" w:type="dxa"/>
              <w:start w:w="120" w:type="dxa"/>
              <w:bottom w:w="100" w:type="dxa"/>
              <w:end w:w="120" w:type="dxa"/>
            </w:tcMar>
            <w:vAlign w:val="center"/>
          </w:tcPr>
          <w:p>
            <w:pPr>
              <w:jc w:val="left"/>
            </w:pPr>
            <w:r>
              <w:t>Le passage à l’âge adulte et l’apprentissage du sens de la limite.</w:t>
            </w:r>
          </w:p>
        </w:tc>
      </w:tr>
    </w:tbl>
    <w:p>
      <w:pPr>
        <w:pStyle w:val="Heading1"/>
      </w:pPr>
      <w:r>
        <w:t>5. Fiche express pour l’exposé ou le devoir</w:t>
      </w:r>
    </w:p>
    <w:tbl>
      <w:tblPr>
        <w:tblW w:type="auto" w:w="0"/>
        <w:jc w:val="center"/>
        <w:tblLayout w:type="fixed"/>
        <w:tblLook w:firstColumn="1" w:firstRow="1" w:lastColumn="0" w:lastRow="0" w:noHBand="0" w:noVBand="1" w:val="04A0"/>
      </w:tblPr>
      <w:tblGrid>
        <w:gridCol w:w="4535"/>
        <w:gridCol w:w="4762"/>
      </w:tblGrid>
      <w:tr>
        <w:tc>
          <w:tcPr>
            <w:tcW w:type="dxa" w:w="5043"/>
            <w:shd w:fill="FFFDF7"/>
            <w:tcMar>
              <w:top w:w="120" w:type="dxa"/>
              <w:start w:w="140" w:type="dxa"/>
              <w:bottom w:w="120" w:type="dxa"/>
              <w:end w:w="140" w:type="dxa"/>
            </w:tcMar>
          </w:tcPr>
          <w:p>
            <w:r>
              <w:rPr>
                <w:b/>
                <w:color w:val="825820"/>
              </w:rPr>
              <w:t>Idées fortes</w:t>
            </w:r>
          </w:p>
          <w:p>
            <w:pPr>
              <w:ind w:left="198"/>
            </w:pPr>
            <w:r>
              <w:t>• Roman initiatique centré sur la construction de soi.</w:t>
            </w:r>
          </w:p>
          <w:p>
            <w:pPr>
              <w:ind w:left="198"/>
            </w:pPr>
            <w:r>
              <w:t>• Fantasy philosophique plus intérieure que spectaculaire.</w:t>
            </w:r>
          </w:p>
          <w:p>
            <w:pPr>
              <w:ind w:left="198"/>
            </w:pPr>
            <w:r>
              <w:t>• Le héros gagne en lucidité plutôt qu’en domination.</w:t>
            </w:r>
          </w:p>
          <w:p>
            <w:pPr>
              <w:ind w:left="198"/>
            </w:pPr>
            <w:r>
              <w:t>• L’ombre est le symbole d’une vérité intérieure à reconnaître.</w:t>
            </w:r>
          </w:p>
        </w:tc>
        <w:tc>
          <w:tcPr>
            <w:tcW w:type="dxa" w:w="5043"/>
            <w:shd w:fill="FFFDF7"/>
            <w:tcMar>
              <w:top w:w="120" w:type="dxa"/>
              <w:start w:w="140" w:type="dxa"/>
              <w:bottom w:w="120" w:type="dxa"/>
              <w:end w:w="140" w:type="dxa"/>
            </w:tcMar>
          </w:tcPr>
          <w:p>
            <w:r>
              <w:rPr>
                <w:b/>
                <w:color w:val="825820"/>
              </w:rPr>
              <w:t>Formulations utiles</w:t>
            </w:r>
          </w:p>
          <w:p>
            <w:pPr>
              <w:ind w:left="198"/>
            </w:pPr>
            <w:r>
              <w:t>• L’œuvre montre que la connaissance de soi fonde une puissance plus juste.</w:t>
            </w:r>
          </w:p>
          <w:p>
            <w:pPr>
              <w:ind w:left="198"/>
            </w:pPr>
            <w:r>
              <w:t>• Le parcours de Ged illustre le passage de l’orgueil à la sagesse.</w:t>
            </w:r>
          </w:p>
          <w:p>
            <w:pPr>
              <w:ind w:left="198"/>
            </w:pPr>
            <w:r>
              <w:t>• La magie devient ici une métaphore du langage et de la responsabilité.</w:t>
            </w:r>
          </w:p>
          <w:p>
            <w:pPr>
              <w:ind w:left="198"/>
            </w:pPr>
            <w:r>
              <w:t>• Terremer propose une réflexion profonde sur la mesure et l’équilibre du monde.</w:t>
            </w:r>
          </w:p>
        </w:tc>
      </w:tr>
    </w:tbl>
    <w:p>
      <w:pPr>
        <w:pStyle w:val="Heading1"/>
      </w:pPr>
      <w:r>
        <w:t>6. Questions de révision</w:t>
      </w:r>
    </w:p>
    <w:p>
      <w:pPr>
        <w:ind w:left="170"/>
      </w:pPr>
      <w:r>
        <w:rPr>
          <w:sz w:val="21"/>
        </w:rPr>
        <w:t>□ Pourquoi l’ombre libérée par Ged a-t-elle une valeur symbolique ?</w:t>
      </w:r>
    </w:p>
    <w:p>
      <w:pPr>
        <w:ind w:left="170"/>
      </w:pPr>
      <w:r>
        <w:rPr>
          <w:sz w:val="21"/>
        </w:rPr>
        <w:t>□ En quoi la magie de Terremer diffère-t-elle d’une magie purement spectaculaire ?</w:t>
      </w:r>
    </w:p>
    <w:p>
      <w:pPr>
        <w:ind w:left="170"/>
      </w:pPr>
      <w:r>
        <w:rPr>
          <w:sz w:val="21"/>
        </w:rPr>
        <w:t>□ Comment l’œuvre transforme-t-elle l’aventure en apprentissage intérieur ?</w:t>
      </w:r>
    </w:p>
    <w:p>
      <w:pPr>
        <w:ind w:left="170"/>
      </w:pPr>
      <w:r>
        <w:rPr>
          <w:sz w:val="21"/>
        </w:rPr>
        <w:t>□ Pourquoi peut-on parler d’un roman sur la mesure et la responsabilité ?</w:t>
      </w:r>
    </w:p>
    <w:p>
      <w:pPr>
        <w:pStyle w:val="Heading1"/>
      </w:pPr>
      <w:r>
        <w:t>7. Mini conclusion prête à retenir</w:t>
      </w:r>
    </w:p>
    <w:tbl>
      <w:tblPr>
        <w:tblW w:type="auto" w:w="0"/>
        <w:jc w:val="center"/>
        <w:tblLayout w:type="fixed"/>
        <w:tblLook w:firstColumn="1" w:firstRow="1" w:lastColumn="0" w:lastRow="0" w:noHBand="0" w:noVBand="1" w:val="04A0"/>
      </w:tblPr>
      <w:tblGrid>
        <w:gridCol w:w="9298"/>
      </w:tblGrid>
      <w:tr>
        <w:tc>
          <w:tcPr>
            <w:tcW w:type="dxa" w:w="10086"/>
            <w:shd w:fill="EAF2F8"/>
            <w:tcMar>
              <w:top w:w="140" w:type="dxa"/>
              <w:start w:w="150" w:type="dxa"/>
              <w:bottom w:w="140" w:type="dxa"/>
              <w:end w:w="150" w:type="dxa"/>
            </w:tcMar>
          </w:tcPr>
          <w:p>
            <w:pPr>
              <w:jc w:val="both"/>
            </w:pPr>
            <w:r>
              <w:rPr>
                <w:b/>
                <w:color w:val="14355E"/>
              </w:rPr>
              <w:t>Les Contes de Terremer sont bien plus qu’un récit fantastique. L’œuvre raconte une initiation où la magie représente la responsabilité, l’ombre symbolise la part cachée de soi, et l’équilibre du monde rappelle qu’aucune puissance ne vaut sans lucidité, mesure et sagesse.</w:t>
            </w:r>
          </w:p>
        </w:tc>
      </w:tr>
    </w:tbl>
    <w:sectPr w:rsidR="00FC693F" w:rsidRPr="0006063C" w:rsidSect="00034616">
      <w:footerReference w:type="default" r:id="rId9"/>
      <w:pgSz w:w="12240" w:h="15840"/>
      <w:pgMar w:top="907" w:right="1077" w:bottom="907" w:left="107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787878"/>
        <w:sz w:val="18"/>
      </w:rPr>
      <w:t>Fiche de révision – Les Contes de Terremer</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rial" w:hAnsi="Arial" w:eastAsia="Arial"/>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rial" w:hAnsi="Arial" w:eastAsia="Arial"/>
      <w:b/>
      <w:bCs/>
      <w:color w:val="14355E"/>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rial" w:hAnsi="Arial" w:eastAsia="Arial"/>
      <w:b/>
      <w:bCs/>
      <w:color w:val="26587C"/>
      <w:sz w:val="24"/>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Arial" w:hAnsi="Arial" w:eastAsia="Arial"/>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rial" w:hAnsi="Arial" w:eastAsia="Arial"/>
      <w:b/>
      <w:color w:val="14355E"/>
      <w:spacing w:val="5"/>
      <w:kern w:val="28"/>
      <w:sz w:val="44"/>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ascii="Arial" w:hAnsi="Arial" w:eastAsia="Arial"/>
      <w:i/>
      <w:iCs/>
      <w:color w:val="5A6478"/>
      <w:spacing w:val="15"/>
      <w:sz w:val="22"/>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