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FICHE DE LECTURE – LES CONTES DE TERREMER</w:t>
      </w:r>
    </w:p>
    <w:p/>
    <w:p>
      <w:r>
        <w:rPr>
          <w:b/>
          <w:color w:val="006699"/>
          <w:sz w:val="28"/>
        </w:rPr>
        <w:t>1. Informations générales</w:t>
      </w:r>
    </w:p>
    <w:p>
      <w:pPr>
        <w:spacing w:after="120"/>
      </w:pPr>
      <w:r>
        <w:t>Auteur : Ursula K. Le Guin</w:t>
        <w:br/>
        <w:t>Genre : Fantasy philosophique</w:t>
        <w:br/>
        <w:t>Date : 1968–2001</w:t>
        <w:br/>
        <w:t>Cadre : Archipel de Terremer</w:t>
      </w:r>
    </w:p>
    <w:p>
      <w:r>
        <w:rPr>
          <w:b/>
          <w:color w:val="006699"/>
          <w:sz w:val="28"/>
        </w:rPr>
        <w:t>2. Résumé synthétique</w:t>
      </w:r>
    </w:p>
    <w:p>
      <w:pPr>
        <w:spacing w:after="120"/>
      </w:pPr>
      <w:r>
        <w:t>Ged, jeune mage talentueux, libère une ombre maléfique par orgueil. Il entreprend une quête pour affronter cette part obscure et retrouver l’équilibre du monde.</w:t>
      </w:r>
    </w:p>
    <w:p>
      <w:r>
        <w:rPr>
          <w:b/>
          <w:color w:val="006699"/>
          <w:sz w:val="28"/>
        </w:rPr>
        <w:t>3. Personnages principaux</w:t>
      </w:r>
    </w:p>
    <w:p>
      <w:pPr>
        <w:spacing w:after="120"/>
      </w:pPr>
      <w:r>
        <w:t>Ged (Épervier) : héros en quête de maturité</w:t>
        <w:br/>
        <w:t>Ogion : maître sage</w:t>
        <w:br/>
        <w:t>Tenar : figure de libération</w:t>
        <w:br/>
        <w:t>Arren : jeune prince en évolution</w:t>
      </w:r>
    </w:p>
    <w:p>
      <w:r>
        <w:rPr>
          <w:b/>
          <w:color w:val="006699"/>
          <w:sz w:val="28"/>
        </w:rPr>
        <w:t>4. Thèmes principaux</w:t>
      </w:r>
    </w:p>
    <w:p>
      <w:pPr>
        <w:spacing w:after="120"/>
      </w:pPr>
      <w:r>
        <w:t>Identité – Pouvoir – Équilibre – Langage – Peur – Mort</w:t>
      </w:r>
    </w:p>
    <w:p>
      <w:r>
        <w:rPr>
          <w:b/>
          <w:color w:val="006699"/>
          <w:sz w:val="28"/>
        </w:rPr>
        <w:t>5. Analyse rapide</w:t>
      </w:r>
    </w:p>
    <w:p>
      <w:pPr>
        <w:spacing w:after="120"/>
      </w:pPr>
      <w:r>
        <w:t>Le récit montre que la vraie force réside dans la connaissance de soi et la maîtrise intérieure.</w:t>
      </w:r>
    </w:p>
    <w:p>
      <w:r>
        <w:rPr>
          <w:b/>
          <w:color w:val="006699"/>
          <w:sz w:val="28"/>
        </w:rPr>
        <w:t>6. Citation clé</w:t>
      </w:r>
    </w:p>
    <w:p>
      <w:pPr>
        <w:spacing w:after="120"/>
      </w:pPr>
      <w:r>
        <w:t>Se connaître soi-même, c’est connaître le monde.</w:t>
      </w:r>
    </w:p>
    <w:p>
      <w:r>
        <w:rPr>
          <w:b/>
          <w:color w:val="006699"/>
          <w:sz w:val="28"/>
        </w:rPr>
        <w:t>7. À retenir pour examen</w:t>
      </w:r>
    </w:p>
    <w:p>
      <w:pPr>
        <w:spacing w:after="120"/>
      </w:pPr>
      <w:r>
        <w:t>Roman initiatique – Symbolisme de l’ombre – Philosophie de l’équilibre – Magie comme langage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