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color w:val="112B5C"/>
          <w:sz w:val="44"/>
        </w:rPr>
        <w:t>Modèle Word — Audit de Communication Interne</w:t>
      </w:r>
    </w:p>
    <w:p>
      <w:r>
        <w:rPr>
          <w:color w:val="50505C"/>
          <w:sz w:val="22"/>
        </w:rPr>
        <w:t>Canevas opérationnel avec tableaux, codes couleur et check-lists (à compléter).</w:t>
      </w:r>
    </w:p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1440"/>
            <w:shd w:val="clear" w:color="auto" w:fill="FFF4CC"/>
            <w:tcBorders>
              <w:top w:val="single" w:sz="6" w:space="0" w:color="E6C200"/>
              <w:left w:val="single" w:sz="6" w:space="0" w:color="E6C200"/>
              <w:bottom w:val="single" w:sz="6" w:space="0" w:color="E6C200"/>
              <w:right w:val="single" w:sz="6" w:space="0" w:color="E6C200"/>
            </w:tcBorders>
            <w:vAlign w:val="center"/>
          </w:tcPr>
          <w:p>
            <w:pPr>
              <w:jc w:val="center"/>
            </w:pPr>
            <w:r>
              <w:rPr>
                <w:b/>
                <w:color w:val="785A00"/>
                <w:sz w:val="22"/>
              </w:rPr>
              <w:t>OBJECTIF</w:t>
            </w:r>
          </w:p>
        </w:tc>
        <w:tc>
          <w:tcPr>
            <w:tcW w:type="dxa" w:w="7920"/>
            <w:shd w:val="clear" w:color="auto" w:fill="FFF4CC"/>
            <w:tcBorders>
              <w:top w:val="single" w:sz="6" w:space="0" w:color="E6C200"/>
              <w:left w:val="single" w:sz="6" w:space="0" w:color="E6C200"/>
              <w:bottom w:val="single" w:sz="6" w:space="0" w:color="E6C200"/>
              <w:right w:val="single" w:sz="6" w:space="0" w:color="E6C200"/>
            </w:tcBorders>
            <w:vAlign w:val="center"/>
          </w:tcPr>
          <w:p>
            <w:r>
              <w:rPr>
                <w:color w:val="282834"/>
                <w:sz w:val="22"/>
              </w:rPr>
              <w:t>Mesurer la qualité de la circulation de l’information, l’engagement des équipes et l’efficacité des canaux internes.</w:t>
            </w:r>
          </w:p>
        </w:tc>
      </w:tr>
    </w:tbl>
    <w:p/>
    <w:p>
      <w:r>
        <w:rPr>
          <w:b/>
          <w:color w:val="165EA8"/>
          <w:sz w:val="28"/>
        </w:rPr>
        <w:t>1) Fiche d’identité de l’audit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4320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À compléter</w:t>
            </w:r>
          </w:p>
        </w:tc>
      </w:tr>
      <w:tr>
        <w:tc>
          <w:tcPr>
            <w:tcW w:type="dxa" w:w="432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t>Organisation</w:t>
            </w:r>
          </w:p>
        </w:tc>
        <w:tc>
          <w:tcPr>
            <w:tcW w:type="dxa" w:w="432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432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t>Périmètre (siège, sites, services)</w:t>
            </w:r>
          </w:p>
        </w:tc>
        <w:tc>
          <w:tcPr>
            <w:tcW w:type="dxa" w:w="432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432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t>Période analysée (dates)</w:t>
            </w:r>
          </w:p>
        </w:tc>
        <w:tc>
          <w:tcPr>
            <w:tcW w:type="dxa" w:w="432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432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t>Réalisé par</w:t>
            </w:r>
          </w:p>
        </w:tc>
        <w:tc>
          <w:tcPr>
            <w:tcW w:type="dxa" w:w="432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432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t>Référents (RH / Communication / Direction)</w:t>
            </w:r>
          </w:p>
        </w:tc>
        <w:tc>
          <w:tcPr>
            <w:tcW w:type="dxa" w:w="432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432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t>Population concernée (effectif, métiers)</w:t>
            </w:r>
          </w:p>
        </w:tc>
        <w:tc>
          <w:tcPr>
            <w:tcW w:type="dxa" w:w="432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</w:tbl>
    <w:p/>
    <w:p>
      <w:r>
        <w:rPr>
          <w:b/>
          <w:color w:val="165EA8"/>
          <w:sz w:val="28"/>
        </w:rPr>
        <w:t>2) Chaîne de communication interne (vue rapide)</w:t>
      </w:r>
    </w:p>
    <w:p/>
    <w:p>
      <w:r>
        <w:rPr>
          <w:color w:val="373746"/>
          <w:sz w:val="22"/>
        </w:rPr>
        <w:t>➜ Direction  →  ➜ Managers  →  ➜ Équipes  →  ➜ Feedback  →  ➜ Amélioration continue</w:t>
      </w:r>
    </w:p>
    <w:p/>
    <w:p>
      <w:r>
        <w:rPr>
          <w:b/>
          <w:color w:val="165EA8"/>
          <w:sz w:val="28"/>
        </w:rPr>
        <w:t>3) Cartographie des canaux internes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c>
          <w:tcPr>
            <w:tcW w:type="dxa" w:w="1080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Canal</w:t>
            </w:r>
          </w:p>
        </w:tc>
        <w:tc>
          <w:tcPr>
            <w:tcW w:type="dxa" w:w="1080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Usage réel</w:t>
            </w:r>
          </w:p>
        </w:tc>
        <w:tc>
          <w:tcPr>
            <w:tcW w:type="dxa" w:w="1080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Fréquence</w:t>
            </w:r>
          </w:p>
        </w:tc>
        <w:tc>
          <w:tcPr>
            <w:tcW w:type="dxa" w:w="1080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Clarté</w:t>
            </w:r>
          </w:p>
        </w:tc>
        <w:tc>
          <w:tcPr>
            <w:tcW w:type="dxa" w:w="1080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Accessibilité</w:t>
            </w:r>
          </w:p>
        </w:tc>
        <w:tc>
          <w:tcPr>
            <w:tcW w:type="dxa" w:w="1080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KPI (ex : lecture, présence)</w:t>
            </w:r>
          </w:p>
        </w:tc>
        <w:tc>
          <w:tcPr>
            <w:tcW w:type="dxa" w:w="1080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Score (1–5)</w:t>
            </w:r>
          </w:p>
        </w:tc>
        <w:tc>
          <w:tcPr>
            <w:tcW w:type="dxa" w:w="1080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Notes</w:t>
            </w:r>
          </w:p>
        </w:tc>
      </w:tr>
      <w:tr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08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</w:tbl>
    <w:p/>
    <w:p>
      <w:r>
        <w:rPr>
          <w:b/>
          <w:color w:val="165EA8"/>
          <w:sz w:val="28"/>
        </w:rPr>
        <w:t>4) Qualité des flux d’information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val="clear" w:color="auto" w:fill="FFF4CC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Flux</w:t>
            </w:r>
          </w:p>
        </w:tc>
        <w:tc>
          <w:tcPr>
            <w:tcW w:type="dxa" w:w="1728"/>
            <w:shd w:val="clear" w:color="auto" w:fill="FFF4CC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Ce qui fonctionne</w:t>
            </w:r>
          </w:p>
        </w:tc>
        <w:tc>
          <w:tcPr>
            <w:tcW w:type="dxa" w:w="1728"/>
            <w:shd w:val="clear" w:color="auto" w:fill="FFF4CC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Blocages</w:t>
            </w:r>
          </w:p>
        </w:tc>
        <w:tc>
          <w:tcPr>
            <w:tcW w:type="dxa" w:w="1728"/>
            <w:shd w:val="clear" w:color="auto" w:fill="FFF4CC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Risques</w:t>
            </w:r>
          </w:p>
        </w:tc>
        <w:tc>
          <w:tcPr>
            <w:tcW w:type="dxa" w:w="1728"/>
            <w:shd w:val="clear" w:color="auto" w:fill="FFF4CC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Solutions</w:t>
            </w:r>
          </w:p>
        </w:tc>
      </w:tr>
      <w:tr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t>Descendant (Direction → équipes)</w:t>
            </w:r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t>Ascendant (équipes → Direction)</w:t>
            </w:r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t>Horizontal (inter-services)</w:t>
            </w:r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t>Urgences / incidents</w:t>
            </w:r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t>Projets transverses</w:t>
            </w:r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t>Onboarding</w:t>
            </w:r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t>Social / culture</w:t>
            </w:r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</w:tbl>
    <w:p/>
    <w:p>
      <w:r>
        <w:rPr>
          <w:b/>
          <w:color w:val="165EA8"/>
          <w:sz w:val="28"/>
        </w:rPr>
        <w:t>5) Climat interne et engagement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val="clear" w:color="auto" w:fill="E9F7E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Thème</w:t>
            </w:r>
          </w:p>
        </w:tc>
        <w:tc>
          <w:tcPr>
            <w:tcW w:type="dxa" w:w="2160"/>
            <w:shd w:val="clear" w:color="auto" w:fill="E9F7E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Constat</w:t>
            </w:r>
          </w:p>
        </w:tc>
        <w:tc>
          <w:tcPr>
            <w:tcW w:type="dxa" w:w="2160"/>
            <w:shd w:val="clear" w:color="auto" w:fill="E9F7E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Preuves (verbatims, chiffres)</w:t>
            </w:r>
          </w:p>
        </w:tc>
        <w:tc>
          <w:tcPr>
            <w:tcW w:type="dxa" w:w="2160"/>
            <w:shd w:val="clear" w:color="auto" w:fill="E9F7E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Actions recommandées</w:t>
            </w:r>
          </w:p>
        </w:tc>
      </w:tr>
      <w:tr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</w:tbl>
    <w:p/>
    <w:p>
      <w:r>
        <w:rPr>
          <w:b/>
          <w:color w:val="165EA8"/>
          <w:sz w:val="28"/>
        </w:rPr>
        <w:t>6) Enquête interne (questions types)</w:t>
      </w:r>
    </w:p>
    <w:p>
      <w:r>
        <w:t>• Comprenez-vous les priorités de l’organisation ? (Oui/Non/Partiellement)</w:t>
      </w:r>
    </w:p>
    <w:p>
      <w:r>
        <w:t>• Recevez-vous l’information à temps pour agir ? (1–5)</w:t>
      </w:r>
    </w:p>
    <w:p>
      <w:r>
        <w:t>• Les décisions sont-elles expliquées de manière claire ? (1–5)</w:t>
      </w:r>
    </w:p>
    <w:p>
      <w:r>
        <w:t>• Quel canal interne est le plus utile pour vous ? Pourquoi ?</w:t>
      </w:r>
    </w:p>
    <w:p>
      <w:r>
        <w:t>• Qu’est-ce qui manque aujourd’hui pour mieux travailler ?</w:t>
      </w:r>
    </w:p>
    <w:p/>
    <w:p>
      <w:r>
        <w:rPr>
          <w:b/>
          <w:color w:val="165EA8"/>
          <w:sz w:val="28"/>
        </w:rPr>
        <w:t>7) Recommandations priorisées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Recommandation</w:t>
            </w:r>
          </w:p>
        </w:tc>
        <w:tc>
          <w:tcPr>
            <w:tcW w:type="dxa" w:w="1234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Bénéfice</w:t>
            </w:r>
          </w:p>
        </w:tc>
        <w:tc>
          <w:tcPr>
            <w:tcW w:type="dxa" w:w="1234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Priorité (H/M/B)</w:t>
            </w:r>
          </w:p>
        </w:tc>
        <w:tc>
          <w:tcPr>
            <w:tcW w:type="dxa" w:w="1234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Effort (1–5)</w:t>
            </w:r>
          </w:p>
        </w:tc>
        <w:tc>
          <w:tcPr>
            <w:tcW w:type="dxa" w:w="1234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Impact (1–5)</w:t>
            </w:r>
          </w:p>
        </w:tc>
        <w:tc>
          <w:tcPr>
            <w:tcW w:type="dxa" w:w="1234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1234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Échéance</w:t>
            </w:r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</w:tbl>
    <w:p/>
    <w:p>
      <w:r>
        <w:rPr>
          <w:b/>
          <w:color w:val="165EA8"/>
          <w:sz w:val="28"/>
        </w:rPr>
        <w:t>8) Plan d’amélioration (suivi)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  <w:shd w:val="clear" w:color="auto" w:fill="E9F7E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Action</w:t>
            </w:r>
          </w:p>
        </w:tc>
        <w:tc>
          <w:tcPr>
            <w:tcW w:type="dxa" w:w="1440"/>
            <w:shd w:val="clear" w:color="auto" w:fill="E9F7E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Livrable</w:t>
            </w:r>
          </w:p>
        </w:tc>
        <w:tc>
          <w:tcPr>
            <w:tcW w:type="dxa" w:w="1440"/>
            <w:shd w:val="clear" w:color="auto" w:fill="E9F7E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Indicateur</w:t>
            </w:r>
          </w:p>
        </w:tc>
        <w:tc>
          <w:tcPr>
            <w:tcW w:type="dxa" w:w="1440"/>
            <w:shd w:val="clear" w:color="auto" w:fill="E9F7E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Deadline</w:t>
            </w:r>
          </w:p>
        </w:tc>
        <w:tc>
          <w:tcPr>
            <w:tcW w:type="dxa" w:w="1440"/>
            <w:shd w:val="clear" w:color="auto" w:fill="E9F7E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Statut</w:t>
            </w:r>
          </w:p>
        </w:tc>
        <w:tc>
          <w:tcPr>
            <w:tcW w:type="dxa" w:w="1440"/>
            <w:shd w:val="clear" w:color="auto" w:fill="E9F7E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</w:tbl>
    <w:p/>
    <w:p>
      <w:r>
        <w:rPr>
          <w:b/>
          <w:color w:val="165EA8"/>
          <w:sz w:val="28"/>
        </w:rPr>
        <w:t>9) Conclusion</w:t>
      </w:r>
    </w:p>
    <w:p>
      <w:r>
        <w:t>Synthèse et feuille de route :</w:t>
      </w:r>
    </w:p>
    <w:p>
      <w:r>
        <w:t>➜ Priorité : ________________________________</w:t>
      </w:r>
    </w:p>
    <w:p>
      <w:r>
        <w:t>➜ Priorité : ________________________________</w:t>
      </w:r>
    </w:p>
    <w:p>
      <w:r>
        <w:t>➜ Priorité : ________________________________</w:t>
      </w:r>
    </w:p>
    <w:sectPr w:rsidR="00FC693F" w:rsidRPr="0006063C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82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