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112B5C"/>
          <w:sz w:val="44"/>
        </w:rPr>
        <w:t>Modèle Word — Audit de Communication Externe</w:t>
      </w:r>
    </w:p>
    <w:p>
      <w:r>
        <w:rPr>
          <w:color w:val="50505C"/>
          <w:sz w:val="22"/>
        </w:rPr>
        <w:t>Canevas opérationnel avec tableaux, codes couleur et check-lists (à compléter).</w:t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1440"/>
            <w:shd w:val="clear" w:color="auto" w:fill="FFF4CC"/>
            <w:tcBorders>
              <w:top w:val="single" w:sz="6" w:space="0" w:color="E6C200"/>
              <w:left w:val="single" w:sz="6" w:space="0" w:color="E6C200"/>
              <w:bottom w:val="single" w:sz="6" w:space="0" w:color="E6C200"/>
              <w:right w:val="single" w:sz="6" w:space="0" w:color="E6C200"/>
            </w:tcBorders>
            <w:vAlign w:val="center"/>
          </w:tcPr>
          <w:p>
            <w:pPr>
              <w:jc w:val="center"/>
            </w:pPr>
            <w:r>
              <w:rPr>
                <w:b/>
                <w:color w:val="785A00"/>
                <w:sz w:val="22"/>
              </w:rPr>
              <w:t>OBJECTIF</w:t>
            </w:r>
          </w:p>
        </w:tc>
        <w:tc>
          <w:tcPr>
            <w:tcW w:type="dxa" w:w="7920"/>
            <w:shd w:val="clear" w:color="auto" w:fill="FFF4CC"/>
            <w:tcBorders>
              <w:top w:val="single" w:sz="6" w:space="0" w:color="E6C200"/>
              <w:left w:val="single" w:sz="6" w:space="0" w:color="E6C200"/>
              <w:bottom w:val="single" w:sz="6" w:space="0" w:color="E6C200"/>
              <w:right w:val="single" w:sz="6" w:space="0" w:color="E6C200"/>
            </w:tcBorders>
            <w:vAlign w:val="center"/>
          </w:tcPr>
          <w:p>
            <w:r>
              <w:rPr>
                <w:color w:val="282834"/>
                <w:sz w:val="22"/>
              </w:rPr>
              <w:t>Évaluer l’efficacité des actions de communication externes, la cohérence des messages et l’impact sur l’image de marque.</w:t>
            </w:r>
          </w:p>
        </w:tc>
      </w:tr>
    </w:tbl>
    <w:p/>
    <w:p>
      <w:r>
        <w:rPr>
          <w:b/>
          <w:color w:val="165EA8"/>
          <w:sz w:val="28"/>
        </w:rPr>
        <w:t>1) Fiche d’identité de l’audit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320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À compléter</w:t>
            </w:r>
          </w:p>
        </w:tc>
      </w:tr>
      <w:tr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t>Organisation / Marque</w:t>
            </w:r>
          </w:p>
        </w:tc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t>Secteur / Activité</w:t>
            </w:r>
          </w:p>
        </w:tc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t>Période analysée (dates)</w:t>
            </w:r>
          </w:p>
        </w:tc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t>Réalisé par</w:t>
            </w:r>
          </w:p>
        </w:tc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t>Contact référent</w:t>
            </w:r>
          </w:p>
        </w:tc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t>Objectif prioritaire (notoriété, acquisition, image, etc.)</w:t>
            </w:r>
          </w:p>
        </w:tc>
        <w:tc>
          <w:tcPr>
            <w:tcW w:type="dxa" w:w="432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</w:tbl>
    <w:p/>
    <w:p>
      <w:r>
        <w:rPr>
          <w:b/>
          <w:color w:val="165EA8"/>
          <w:sz w:val="28"/>
        </w:rPr>
        <w:t>2) Parcours de l’audit (vue rapide)</w:t>
      </w:r>
    </w:p>
    <w:p/>
    <w:p>
      <w:r>
        <w:rPr>
          <w:color w:val="373746"/>
          <w:sz w:val="22"/>
        </w:rPr>
        <w:t>➜ Collecte  →  ➜ Analyse  →  ➜ Diagnostic  →  ➜ Recommandations  →  ➜ Plan d’action</w:t>
      </w:r>
    </w:p>
    <w:p/>
    <w:p>
      <w:r>
        <w:rPr>
          <w:b/>
          <w:color w:val="165EA8"/>
          <w:sz w:val="28"/>
        </w:rPr>
        <w:t>3) Cartographie des canaux externes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Canal</w:t>
            </w:r>
          </w:p>
        </w:tc>
        <w:tc>
          <w:tcPr>
            <w:tcW w:type="dxa" w:w="1234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Rôle</w:t>
            </w:r>
          </w:p>
        </w:tc>
        <w:tc>
          <w:tcPr>
            <w:tcW w:type="dxa" w:w="1234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Audience</w:t>
            </w:r>
          </w:p>
        </w:tc>
        <w:tc>
          <w:tcPr>
            <w:tcW w:type="dxa" w:w="1234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Fréquence</w:t>
            </w:r>
          </w:p>
        </w:tc>
        <w:tc>
          <w:tcPr>
            <w:tcW w:type="dxa" w:w="1234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KPI clés</w:t>
            </w:r>
          </w:p>
        </w:tc>
        <w:tc>
          <w:tcPr>
            <w:tcW w:type="dxa" w:w="1234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Score (1–5)</w:t>
            </w:r>
          </w:p>
        </w:tc>
        <w:tc>
          <w:tcPr>
            <w:tcW w:type="dxa" w:w="1234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Observations</w:t>
            </w:r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</w:tbl>
    <w:p/>
    <w:p>
      <w:r>
        <w:rPr>
          <w:b/>
          <w:color w:val="165EA8"/>
          <w:sz w:val="28"/>
        </w:rPr>
        <w:t>4) Analyse par support (check-list + notes)</w:t>
      </w:r>
    </w:p>
    <w:p>
      <w:r>
        <w:t>✓ Site web : messages, navigation, crédibilité, CTA, pages clés</w:t>
      </w:r>
    </w:p>
    <w:p>
      <w:r>
        <w:t>✓ Réseaux sociaux : cohérence visuelle, régularité, engagement, formats</w:t>
      </w:r>
    </w:p>
    <w:p>
      <w:r>
        <w:t>✓ Emailing : segmentation, objet, taux d’ouverture/clic, délivrabilité</w:t>
      </w:r>
    </w:p>
    <w:p>
      <w:r>
        <w:t>✓ Publicité : ciblage, promesse, cohérence avec landing pages</w:t>
      </w:r>
    </w:p>
    <w:p>
      <w:r>
        <w:t>✓ Relations presse : sujets, retombées, e-réputation</w:t>
      </w:r>
    </w:p>
    <w:p>
      <w:r>
        <w:t>✓ Supports imprimés : lisibilité, hiérarchie, cohérence graphique</w:t>
      </w:r>
    </w:p>
    <w:p>
      <w:r>
        <w:t>Notes / preuves (liens, captures, exemples) :</w:t>
      </w:r>
    </w:p>
    <w:p/>
    <w:p>
      <w:r>
        <w:rPr>
          <w:b/>
          <w:color w:val="165EA8"/>
          <w:sz w:val="28"/>
        </w:rPr>
        <w:t>5) Grille de cohérence de marque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  <w:shd w:val="clear" w:color="auto" w:fill="FFF4CC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1440"/>
            <w:shd w:val="clear" w:color="auto" w:fill="FFF4CC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Conforme</w:t>
            </w:r>
          </w:p>
        </w:tc>
        <w:tc>
          <w:tcPr>
            <w:tcW w:type="dxa" w:w="1440"/>
            <w:shd w:val="clear" w:color="auto" w:fill="FFF4CC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Partiel</w:t>
            </w:r>
          </w:p>
        </w:tc>
        <w:tc>
          <w:tcPr>
            <w:tcW w:type="dxa" w:w="1440"/>
            <w:shd w:val="clear" w:color="auto" w:fill="FFF4CC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Non</w:t>
            </w:r>
          </w:p>
        </w:tc>
        <w:tc>
          <w:tcPr>
            <w:tcW w:type="dxa" w:w="1440"/>
            <w:shd w:val="clear" w:color="auto" w:fill="FFF4CC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Exemples / preuves</w:t>
            </w:r>
          </w:p>
        </w:tc>
        <w:tc>
          <w:tcPr>
            <w:tcW w:type="dxa" w:w="1440"/>
            <w:shd w:val="clear" w:color="auto" w:fill="FFF4CC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Action corrective</w:t>
            </w:r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</w:tbl>
    <w:p/>
    <w:p>
      <w:r>
        <w:rPr>
          <w:b/>
          <w:color w:val="165EA8"/>
          <w:sz w:val="28"/>
        </w:rPr>
        <w:t>6) Analyse concurrentielle (benchmark)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val="clear" w:color="auto" w:fill="E9F7E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Concurrent</w:t>
            </w:r>
          </w:p>
        </w:tc>
        <w:tc>
          <w:tcPr>
            <w:tcW w:type="dxa" w:w="1728"/>
            <w:shd w:val="clear" w:color="auto" w:fill="E9F7E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Positionnement</w:t>
            </w:r>
          </w:p>
        </w:tc>
        <w:tc>
          <w:tcPr>
            <w:tcW w:type="dxa" w:w="1728"/>
            <w:shd w:val="clear" w:color="auto" w:fill="E9F7E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Points forts</w:t>
            </w:r>
          </w:p>
        </w:tc>
        <w:tc>
          <w:tcPr>
            <w:tcW w:type="dxa" w:w="1728"/>
            <w:shd w:val="clear" w:color="auto" w:fill="E9F7E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Points faibles</w:t>
            </w:r>
          </w:p>
        </w:tc>
        <w:tc>
          <w:tcPr>
            <w:tcW w:type="dxa" w:w="1728"/>
            <w:shd w:val="clear" w:color="auto" w:fill="E9F7E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Opportunités à capter</w:t>
            </w:r>
          </w:p>
        </w:tc>
      </w:tr>
      <w:tr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728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</w:tbl>
    <w:p/>
    <w:p>
      <w:r>
        <w:rPr>
          <w:b/>
          <w:color w:val="165EA8"/>
          <w:sz w:val="28"/>
        </w:rPr>
        <w:t>7) Diagnostic (Forces / Faiblesses / Opportunités / Risques)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val="clear" w:color="auto" w:fill="F3F4F6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Forces</w:t>
            </w:r>
          </w:p>
        </w:tc>
        <w:tc>
          <w:tcPr>
            <w:tcW w:type="dxa" w:w="2160"/>
            <w:shd w:val="clear" w:color="auto" w:fill="F3F4F6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Faiblesses</w:t>
            </w:r>
          </w:p>
        </w:tc>
        <w:tc>
          <w:tcPr>
            <w:tcW w:type="dxa" w:w="2160"/>
            <w:shd w:val="clear" w:color="auto" w:fill="F3F4F6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Opportunités</w:t>
            </w:r>
          </w:p>
        </w:tc>
        <w:tc>
          <w:tcPr>
            <w:tcW w:type="dxa" w:w="2160"/>
            <w:shd w:val="clear" w:color="auto" w:fill="F3F4F6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Risques</w:t>
            </w:r>
          </w:p>
        </w:tc>
      </w:tr>
      <w:tr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216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</w:tbl>
    <w:p/>
    <w:p>
      <w:r>
        <w:rPr>
          <w:b/>
          <w:color w:val="165EA8"/>
          <w:sz w:val="28"/>
        </w:rPr>
        <w:t>8) Recommandations priorisées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Recommandation</w:t>
            </w:r>
          </w:p>
        </w:tc>
        <w:tc>
          <w:tcPr>
            <w:tcW w:type="dxa" w:w="1234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Pourquoi</w:t>
            </w:r>
          </w:p>
        </w:tc>
        <w:tc>
          <w:tcPr>
            <w:tcW w:type="dxa" w:w="1234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Priorité (H/M/B)</w:t>
            </w:r>
          </w:p>
        </w:tc>
        <w:tc>
          <w:tcPr>
            <w:tcW w:type="dxa" w:w="1234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Effort (1–5)</w:t>
            </w:r>
          </w:p>
        </w:tc>
        <w:tc>
          <w:tcPr>
            <w:tcW w:type="dxa" w:w="1234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Impact (1–5)</w:t>
            </w:r>
          </w:p>
        </w:tc>
        <w:tc>
          <w:tcPr>
            <w:tcW w:type="dxa" w:w="1234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1234"/>
            <w:shd w:val="clear" w:color="auto" w:fill="EAF2F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Échéance</w:t>
            </w:r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234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</w:tbl>
    <w:p/>
    <w:p>
      <w:r>
        <w:rPr>
          <w:b/>
          <w:color w:val="165EA8"/>
          <w:sz w:val="28"/>
        </w:rPr>
        <w:t>9) Plan d’action (suivi)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  <w:shd w:val="clear" w:color="auto" w:fill="E9F7E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Action</w:t>
            </w:r>
          </w:p>
        </w:tc>
        <w:tc>
          <w:tcPr>
            <w:tcW w:type="dxa" w:w="1440"/>
            <w:shd w:val="clear" w:color="auto" w:fill="E9F7E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Tâches</w:t>
            </w:r>
          </w:p>
        </w:tc>
        <w:tc>
          <w:tcPr>
            <w:tcW w:type="dxa" w:w="1440"/>
            <w:shd w:val="clear" w:color="auto" w:fill="E9F7E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KPI</w:t>
            </w:r>
          </w:p>
        </w:tc>
        <w:tc>
          <w:tcPr>
            <w:tcW w:type="dxa" w:w="1440"/>
            <w:shd w:val="clear" w:color="auto" w:fill="E9F7E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Deadline</w:t>
            </w:r>
          </w:p>
        </w:tc>
        <w:tc>
          <w:tcPr>
            <w:tcW w:type="dxa" w:w="1440"/>
            <w:shd w:val="clear" w:color="auto" w:fill="E9F7E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Statut</w:t>
            </w:r>
          </w:p>
        </w:tc>
        <w:tc>
          <w:tcPr>
            <w:tcW w:type="dxa" w:w="1440"/>
            <w:shd w:val="clear" w:color="auto" w:fill="E9F7EF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  <w:tr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  <w:tc>
          <w:tcPr>
            <w:tcW w:type="dxa" w:w="1440"/>
            <w:tcBorders>
              <w:top w:val="single" w:sz="6" w:space="0" w:color="D9D9E3"/>
              <w:left w:val="single" w:sz="6" w:space="0" w:color="D9D9E3"/>
              <w:bottom w:val="single" w:sz="6" w:space="0" w:color="D9D9E3"/>
              <w:right w:val="single" w:sz="6" w:space="0" w:color="D9D9E3"/>
            </w:tcBorders>
          </w:tcPr>
          <w:p>
            <w:r/>
          </w:p>
        </w:tc>
      </w:tr>
    </w:tbl>
    <w:p/>
    <w:p>
      <w:r>
        <w:rPr>
          <w:b/>
          <w:color w:val="165EA8"/>
          <w:sz w:val="28"/>
        </w:rPr>
        <w:t>10) Conclusion</w:t>
      </w:r>
    </w:p>
    <w:p>
      <w:r>
        <w:t>Synthèse des constats, décisions recommandées, et 3 actions clés à lancer immédiatement :</w:t>
      </w:r>
    </w:p>
    <w:p>
      <w:r>
        <w:t>➜ Action clé : ________________________________</w:t>
      </w:r>
    </w:p>
    <w:p>
      <w:r>
        <w:t>➜ Action clé : ________________________________</w:t>
      </w:r>
    </w:p>
    <w:p>
      <w:r>
        <w:t>➜ Action clé : ________________________________</w:t>
      </w:r>
    </w:p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82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