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 méthode — Écritures comptables de TVA</w:t>
      </w:r>
    </w:p>
    <w:p>
      <w:pPr>
        <w:jc w:val="center"/>
      </w:pPr>
      <w:r>
        <w:rPr>
          <w:i/>
          <w:sz w:val="22"/>
        </w:rPr>
        <w:t>TVA collectée, TVA déductible, TVA à décaisser — Niveau BTS CG</w:t>
      </w:r>
    </w:p>
    <w:p>
      <w:pPr>
        <w:spacing w:after="160"/>
      </w:pPr>
      <w:r>
        <w:rPr>
          <w:b/>
        </w:rPr>
        <w:t xml:space="preserve">Idée clé : </w:t>
      </w:r>
      <w:r>
        <w:t xml:space="preserve">sur une période, l’entreprise collecte de la TVA sur ses ventes et récupère (déduit) de la TVA sur ses achats. </w:t>
      </w:r>
      <w:r>
        <w:t>À la fin, on compense : TVA collectée − TVA déductible = TVA due (ou crédit de TVA).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2F5F9"/>
            <w:tcMar>
              <w:top w:w="110" w:type="dxa"/>
              <w:start w:w="150" w:type="dxa"/>
              <w:bottom w:w="110" w:type="dxa"/>
              <w:end w:w="150" w:type="dxa"/>
            </w:tcMar>
          </w:tcPr>
          <w:p>
            <w:pPr>
              <w:spacing w:after="0"/>
            </w:pPr>
            <w:r>
              <w:rPr>
                <w:b/>
                <w:sz w:val="22"/>
              </w:rPr>
              <w:t>Formules express</w:t>
            </w:r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TVA = HT × taux</w:t>
              <w:br/>
            </w:r>
            <w:r>
              <w:rPr>
                <w:rFonts w:ascii="Consolas" w:hAnsi="Consolas" w:eastAsia="Consolas"/>
                <w:sz w:val="20"/>
              </w:rPr>
              <w:t>TTC = HT + TVA</w:t>
              <w:br/>
            </w:r>
            <w:r>
              <w:rPr>
                <w:rFonts w:ascii="Consolas" w:hAnsi="Consolas" w:eastAsia="Consolas"/>
                <w:sz w:val="20"/>
              </w:rPr>
              <w:t>HT = TTC / (1 + taux)</w:t>
              <w:br/>
            </w:r>
            <w:r>
              <w:rPr>
                <w:rFonts w:ascii="Consolas" w:hAnsi="Consolas" w:eastAsia="Consolas"/>
                <w:sz w:val="20"/>
              </w:rPr>
              <w:t>TVA incluse dans un TTC = TTC × taux / (1 + taux)</w:t>
            </w:r>
          </w:p>
        </w:tc>
      </w:tr>
    </w:tbl>
    <w:p>
      <w:pPr>
        <w:spacing w:after="80"/>
      </w:pPr>
    </w:p>
    <w:p>
      <w:pPr>
        <w:pStyle w:val="Heading1"/>
      </w:pPr>
      <w:r>
        <w:t>1) Comptes à connaître (PCG – usage BTS CG)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0F172A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Compte</w:t>
            </w:r>
          </w:p>
        </w:tc>
        <w:tc>
          <w:tcPr>
            <w:tcW w:type="dxa" w:w="4819"/>
            <w:shd w:val="clear" w:color="auto" w:fill="0F172A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Rôle</w:t>
            </w:r>
          </w:p>
        </w:tc>
      </w:tr>
      <w:tr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jc w:val="center"/>
            </w:pPr>
            <w:r>
              <w:rPr>
                <w:b/>
              </w:rPr>
              <w:t>44571</w:t>
            </w:r>
          </w:p>
        </w:tc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TVA collectée (ventes)</w:t>
            </w:r>
          </w:p>
        </w:tc>
      </w:tr>
      <w:tr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jc w:val="center"/>
            </w:pPr>
            <w:r>
              <w:rPr>
                <w:b/>
              </w:rPr>
              <w:t>44566</w:t>
            </w:r>
          </w:p>
        </w:tc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TVA déductible sur autres biens et services (achats courants)</w:t>
            </w:r>
          </w:p>
        </w:tc>
      </w:tr>
      <w:tr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jc w:val="center"/>
            </w:pPr>
            <w:r>
              <w:rPr>
                <w:b/>
              </w:rPr>
              <w:t>44562</w:t>
            </w:r>
          </w:p>
        </w:tc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TVA déductible sur immobilisations (achats d’immobilisations)</w:t>
            </w:r>
          </w:p>
        </w:tc>
      </w:tr>
      <w:tr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jc w:val="center"/>
            </w:pPr>
            <w:r>
              <w:rPr>
                <w:b/>
              </w:rPr>
              <w:t>44551</w:t>
            </w:r>
          </w:p>
        </w:tc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TVA à décaisser (TVA nette due)</w:t>
            </w:r>
          </w:p>
        </w:tc>
      </w:tr>
      <w:tr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jc w:val="center"/>
            </w:pPr>
            <w:r>
              <w:rPr>
                <w:b/>
              </w:rPr>
              <w:t>44567</w:t>
            </w:r>
          </w:p>
        </w:tc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Crédit de TVA (à reporter)</w:t>
            </w:r>
          </w:p>
        </w:tc>
      </w:tr>
      <w:tr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jc w:val="center"/>
            </w:pPr>
            <w:r>
              <w:rPr>
                <w:b/>
              </w:rPr>
              <w:t>411</w:t>
            </w:r>
          </w:p>
        </w:tc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Clients (créances)</w:t>
            </w:r>
          </w:p>
        </w:tc>
      </w:tr>
      <w:tr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jc w:val="center"/>
            </w:pPr>
            <w:r>
              <w:rPr>
                <w:b/>
              </w:rPr>
              <w:t>401</w:t>
            </w:r>
          </w:p>
        </w:tc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Fournisseurs (dettes)</w:t>
            </w:r>
          </w:p>
        </w:tc>
      </w:tr>
      <w:tr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jc w:val="center"/>
            </w:pPr>
            <w:r>
              <w:rPr>
                <w:b/>
              </w:rPr>
              <w:t>404</w:t>
            </w:r>
          </w:p>
        </w:tc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Fournisseurs d’immobilisations (souvent utilisé pour les immos)</w:t>
            </w:r>
          </w:p>
        </w:tc>
      </w:tr>
      <w:tr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jc w:val="center"/>
            </w:pPr>
            <w:r>
              <w:rPr>
                <w:b/>
              </w:rPr>
              <w:t>512</w:t>
            </w:r>
          </w:p>
        </w:tc>
        <w:tc>
          <w:tcPr>
            <w:tcW w:type="dxa" w:w="4819"/>
            <w:vAlign w:val="center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Banque</w:t>
            </w:r>
          </w:p>
        </w:tc>
      </w:tr>
    </w:tbl>
    <w:p/>
    <w:p>
      <w:pPr>
        <w:pStyle w:val="Heading1"/>
      </w:pPr>
      <w:r>
        <w:t>2) Écritures types à maîtriser</w:t>
      </w:r>
    </w:p>
    <w:p>
      <w:pPr/>
      <w:r>
        <w:t>Les écritures ci-dessous sont présentées en logique professionnelle : on enregistre d’abord la facture, puis le règlement.</w:t>
      </w:r>
    </w:p>
    <w:p>
      <w:pPr>
        <w:pStyle w:val="Heading2"/>
      </w:pPr>
      <w:r>
        <w:t>A) TVA collectée (ventes)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Opération</w:t>
            </w:r>
          </w:p>
        </w:tc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Écriture (schéma)</w:t>
            </w:r>
          </w:p>
        </w:tc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Points d’attention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b/>
              </w:rPr>
              <w:t>Vente de biens/prestations</w:t>
              <w:br/>
              <w:t>(émission facture TTC)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Débit   411  Clients              TTC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70x  Ventes              HT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44571 TVA collectée      TVA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TVA collectée = TVA sur la base HT au bon taux. Si vous êtes sur encaissements, l’exigibilité suit les encaissements (attention aux acomptes).</w:t>
            </w:r>
          </w:p>
        </w:tc>
      </w:tr>
    </w:tbl>
    <w:p>
      <w:pPr>
        <w:spacing w:after="40"/>
      </w:pPr>
    </w:p>
    <w:p>
      <w:pPr>
        <w:pStyle w:val="Heading2"/>
      </w:pPr>
      <w:r>
        <w:t>B) TVA déductible (achats)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Opération</w:t>
            </w:r>
          </w:p>
        </w:tc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Écriture (schéma)</w:t>
            </w:r>
          </w:p>
        </w:tc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Points d’attention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b/>
              </w:rPr>
              <w:t>Achat courant</w:t>
              <w:br/>
              <w:t>(facture fournisseur TTC)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Débit   60x  Achats/charges       HT</w:t>
              <w:br/>
            </w:r>
            <w:r>
              <w:rPr>
                <w:rFonts w:ascii="Consolas" w:hAnsi="Consolas" w:eastAsia="Consolas"/>
                <w:sz w:val="20"/>
              </w:rPr>
              <w:t>Débit   44566 TVA déductible      TVA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401  Fournisseurs         TTC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La TVA n’est déductible que si l’achat ouvre droit à déduction et si la facture est conforme. Séparez bien achats courants (44566) et immobilisations (44562).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b/>
              </w:rPr>
              <w:t>Achat d’immobilisation</w:t>
              <w:br/>
              <w:t>(facture immo TTC)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Débit   21x  Immobilisation       HT</w:t>
              <w:br/>
            </w:r>
            <w:r>
              <w:rPr>
                <w:rFonts w:ascii="Consolas" w:hAnsi="Consolas" w:eastAsia="Consolas"/>
                <w:sz w:val="20"/>
              </w:rPr>
              <w:t>Débit   44562 TVA déductible immo TVA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404  Fourn. d’immos       TTC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Le compte 404 est fréquent pour les immobilisations. En BTS, on accepte souvent 401 si le sujet ne distingue pas, mais l’idéal est 404.</w:t>
            </w:r>
          </w:p>
        </w:tc>
      </w:tr>
    </w:tbl>
    <w:p>
      <w:pPr>
        <w:spacing w:after="40"/>
      </w:pPr>
    </w:p>
    <w:p>
      <w:pPr>
        <w:pStyle w:val="Heading2"/>
      </w:pPr>
      <w:r>
        <w:t>C) Règlements (utile pour comprendre l’exigibilité)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Opération</w:t>
            </w:r>
          </w:p>
        </w:tc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Écriture (schéma)</w:t>
            </w:r>
          </w:p>
        </w:tc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Points d’attention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b/>
              </w:rPr>
              <w:t>Règlement d’un client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Débit   512  Banque               TTC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411  Clients              TTC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Le règlement n’impacte pas la TVA en régime sur les débits. En régime sur encaissements, il déclenche l’exigibilité de la TVA sur la part encaissée.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b/>
              </w:rPr>
              <w:t>Règlement d’un fournisseur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Débit   401  Fournisseurs          TTC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512  Banque               TTC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Même logique : le paiement ne change pas la TVA si débits, mais peut conditionner l’exigibilité dans certains cas.</w:t>
            </w:r>
          </w:p>
        </w:tc>
      </w:tr>
    </w:tbl>
    <w:p>
      <w:pPr>
        <w:spacing w:after="40"/>
      </w:pPr>
    </w:p>
    <w:p>
      <w:pPr>
        <w:pStyle w:val="Heading2"/>
      </w:pPr>
      <w:r>
        <w:t>D) Avoirs (le détail qui change tout)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Opération</w:t>
            </w:r>
          </w:p>
        </w:tc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Écriture (schéma)</w:t>
            </w:r>
          </w:p>
        </w:tc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Points d’attention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b/>
              </w:rPr>
              <w:t>Avoir accordé au client</w:t>
              <w:br/>
              <w:t>(reprise partielle/retour)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Débit   70x  Ventes               HT</w:t>
              <w:br/>
            </w:r>
            <w:r>
              <w:rPr>
                <w:rFonts w:ascii="Consolas" w:hAnsi="Consolas" w:eastAsia="Consolas"/>
                <w:sz w:val="20"/>
              </w:rPr>
              <w:t>Débit   44571 TVA collectée       TVA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411  Clients              TTC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Un avoir diminue la TVA collectée. On passe l’écriture en sens inverse de la facture de vente.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b/>
              </w:rPr>
              <w:t>Avoir reçu du fournisseur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Débit   401  Fournisseurs          TTC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60x  Achats/charges       HT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44566 TVA déductible      TVA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Un avoir diminue la TVA déductible sur la période (vous récupérez moins).</w:t>
            </w:r>
          </w:p>
        </w:tc>
      </w:tr>
    </w:tbl>
    <w:p>
      <w:pPr>
        <w:spacing w:after="40"/>
      </w:pPr>
    </w:p>
    <w:p>
      <w:pPr>
        <w:pStyle w:val="Heading2"/>
      </w:pPr>
      <w:r>
        <w:t>E) Escomptes (cas fréquent en BTS)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Opération</w:t>
            </w:r>
          </w:p>
        </w:tc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Écriture (schéma)</w:t>
            </w:r>
          </w:p>
        </w:tc>
        <w:tc>
          <w:tcPr>
            <w:tcW w:type="dxa" w:w="3213"/>
            <w:shd w:val="clear" w:color="auto" w:fill="1F293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Points d’attention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b/>
              </w:rPr>
              <w:t>Escompte obtenu</w:t>
              <w:br/>
              <w:t>(chez l’acheteur)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Débit   401  Fournisseurs          TTC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765  Escomptes obtenus    HT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44566 TVA déductible      TVA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L’escompte réduit la base taxable : on diminue la TVA déductible correspondante. Selon les sujets, l’escompte peut être directement intégré sur facture (plus simple).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rPr>
                <w:b/>
              </w:rPr>
              <w:t>Escompte accordé</w:t>
              <w:br/>
              <w:t>(chez le vendeur)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Débit   665  Escomptes accordés    HT</w:t>
              <w:br/>
            </w:r>
            <w:r>
              <w:rPr>
                <w:rFonts w:ascii="Consolas" w:hAnsi="Consolas" w:eastAsia="Consolas"/>
                <w:sz w:val="20"/>
              </w:rPr>
              <w:t>Débit   44571 TVA collectée       TVA</w:t>
              <w:br/>
            </w:r>
            <w:r>
              <w:rPr>
                <w:rFonts w:ascii="Consolas" w:hAnsi="Consolas" w:eastAsia="Consolas"/>
                <w:sz w:val="20"/>
              </w:rPr>
              <w:t xml:space="preserve">  Crédit 411  Clients              TTC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Même idée : on réduit la TVA collectée liée à l’escompte accordé.</w:t>
            </w:r>
          </w:p>
        </w:tc>
      </w:tr>
    </w:tbl>
    <w:p>
      <w:pPr>
        <w:spacing w:after="40"/>
      </w:pPr>
    </w:p>
    <w:p>
      <w:pPr>
        <w:pStyle w:val="Heading1"/>
      </w:pPr>
      <w:r>
        <w:t>3) Du journal à la TVA due : déterminer la TVA à décaisser</w:t>
      </w:r>
    </w:p>
    <w:p>
      <w:r>
        <w:rPr>
          <w:b/>
        </w:rPr>
        <w:t xml:space="preserve">Principe de clôture de période : </w:t>
      </w:r>
      <w:r>
        <w:t>on compare les soldes de TVA collectée (44571) et de TVA déductible (44566 + 44562).</w:t>
      </w:r>
    </w:p>
    <w:p>
      <w:r>
        <w:t>— Si TVA collectée &gt; TVA déductible : TVA à décaisser (44551).</w:t>
      </w:r>
    </w:p>
    <w:p>
      <w:r>
        <w:t>— Si TVA déductible &gt; TVA collectée : crédit de TVA à reporter (44567).</w:t>
      </w:r>
    </w:p>
    <w:p>
      <w:pPr>
        <w:spacing w:after="80"/>
      </w:pPr>
      <w:r>
        <w:rPr>
          <w:b/>
        </w:rPr>
        <w:t xml:space="preserve">Repère : </w:t>
      </w:r>
      <w:r>
        <w:t>X = total de TVA collectée sur la période ; Y = total de TVA déductible sur la période.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0B3B4A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Situation en fin de période</w:t>
            </w:r>
          </w:p>
        </w:tc>
        <w:tc>
          <w:tcPr>
            <w:tcW w:type="dxa" w:w="3213"/>
            <w:shd w:val="clear" w:color="auto" w:fill="0B3B4A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Écriture de régularisation</w:t>
            </w:r>
          </w:p>
        </w:tc>
        <w:tc>
          <w:tcPr>
            <w:tcW w:type="dxa" w:w="3213"/>
            <w:shd w:val="clear" w:color="auto" w:fill="0B3B4A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Lecture rapide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TVA due</w:t>
              <w:br/>
              <w:t>(collectée &gt; déductible)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1) Débit   44571 TVA collectée      X</w:t>
              <w:br/>
            </w:r>
            <w:r>
              <w:rPr>
                <w:rFonts w:ascii="Consolas" w:hAnsi="Consolas" w:eastAsia="Consolas"/>
                <w:sz w:val="20"/>
              </w:rPr>
              <w:t xml:space="preserve">     Crédit 44551 TVA à décaisser    X</w:t>
              <w:br/>
            </w:r>
            <w:r>
              <w:rPr>
                <w:rFonts w:ascii="Consolas" w:hAnsi="Consolas" w:eastAsia="Consolas"/>
                <w:sz w:val="20"/>
              </w:rPr>
              <w:br/>
            </w:r>
            <w:r>
              <w:rPr>
                <w:rFonts w:ascii="Consolas" w:hAnsi="Consolas" w:eastAsia="Consolas"/>
                <w:sz w:val="20"/>
              </w:rPr>
              <w:t>2) Débit   44551 TVA à décaisser     Y</w:t>
              <w:br/>
            </w:r>
            <w:r>
              <w:rPr>
                <w:rFonts w:ascii="Consolas" w:hAnsi="Consolas" w:eastAsia="Consolas"/>
                <w:sz w:val="20"/>
              </w:rPr>
              <w:t xml:space="preserve">     Crédit 44566/44562 TVA déduct.  Y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Après 1) et 2), 44551 est créditeur : c’est la TVA nette à payer.</w:t>
            </w:r>
          </w:p>
        </w:tc>
      </w:tr>
      <w:tr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Crédit de TVA</w:t>
              <w:br/>
              <w:t>(déductible &gt; collectée)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/>
          </w:p>
          <w:p>
            <w:pPr>
              <w:spacing w:before="0" w:after="0"/>
            </w:pPr>
            <w:r>
              <w:rPr>
                <w:rFonts w:ascii="Consolas" w:hAnsi="Consolas" w:eastAsia="Consolas"/>
                <w:sz w:val="20"/>
              </w:rPr>
              <w:t>1) Débit   44571 TVA collectée      X</w:t>
              <w:br/>
            </w:r>
            <w:r>
              <w:rPr>
                <w:rFonts w:ascii="Consolas" w:hAnsi="Consolas" w:eastAsia="Consolas"/>
                <w:sz w:val="20"/>
              </w:rPr>
              <w:t xml:space="preserve">     Crédit 44551 TVA à décaisser    X</w:t>
              <w:br/>
            </w:r>
            <w:r>
              <w:rPr>
                <w:rFonts w:ascii="Consolas" w:hAnsi="Consolas" w:eastAsia="Consolas"/>
                <w:sz w:val="20"/>
              </w:rPr>
              <w:br/>
            </w:r>
            <w:r>
              <w:rPr>
                <w:rFonts w:ascii="Consolas" w:hAnsi="Consolas" w:eastAsia="Consolas"/>
                <w:sz w:val="20"/>
              </w:rPr>
              <w:t>2) Débit   44551 TVA à décaisser     Y</w:t>
              <w:br/>
            </w:r>
            <w:r>
              <w:rPr>
                <w:rFonts w:ascii="Consolas" w:hAnsi="Consolas" w:eastAsia="Consolas"/>
                <w:sz w:val="20"/>
              </w:rPr>
              <w:t xml:space="preserve">     Crédit 44566/44562 TVA déduct.  Y</w:t>
              <w:br/>
            </w:r>
            <w:r>
              <w:rPr>
                <w:rFonts w:ascii="Consolas" w:hAnsi="Consolas" w:eastAsia="Consolas"/>
                <w:sz w:val="20"/>
              </w:rPr>
              <w:br/>
            </w:r>
            <w:r>
              <w:rPr>
                <w:rFonts w:ascii="Consolas" w:hAnsi="Consolas" w:eastAsia="Consolas"/>
                <w:sz w:val="20"/>
              </w:rPr>
              <w:t>3) Débit   44567 Crédit de TVA      (Y − X)</w:t>
              <w:br/>
            </w:r>
            <w:r>
              <w:rPr>
                <w:rFonts w:ascii="Consolas" w:hAnsi="Consolas" w:eastAsia="Consolas"/>
                <w:sz w:val="20"/>
              </w:rPr>
              <w:t xml:space="preserve">     Crédit 44551 TVA à décaisser   (Y − X)</w:t>
            </w:r>
          </w:p>
        </w:tc>
        <w:tc>
          <w:tcPr>
            <w:tcW w:type="dxa" w:w="3213"/>
            <w:tcMar>
              <w:top w:w="60" w:type="dxa"/>
              <w:start w:w="110" w:type="dxa"/>
              <w:bottom w:w="60" w:type="dxa"/>
              <w:end w:w="110" w:type="dxa"/>
            </w:tcMar>
            <w:vAlign w:val="top"/>
          </w:tcPr>
          <w:p>
            <w:r>
              <w:t>Après 1) et 2), 44551 devient débiteur. L’étape 3) reclasse le solde en 44567 (crédit à reporter).</w:t>
            </w:r>
          </w:p>
        </w:tc>
      </w:tr>
    </w:tbl>
    <w:p>
      <w:pPr>
        <w:spacing w:after="80"/>
      </w:pPr>
    </w:p>
    <w:p>
      <w:pPr>
        <w:pStyle w:val="Heading1"/>
      </w:pPr>
      <w:r>
        <w:t>4) Mini-exemple chiffré (1 minute pour vérifier votre réflexe)</w:t>
      </w:r>
    </w:p>
    <w:p>
      <w:r>
        <w:t>Vous relevez sur le mois : TVA collectée 6 400 €, TVA déductible (achats) 2 100 €, TVA déductible (immos) 1 500 €.</w:t>
      </w:r>
    </w:p>
    <w:p>
      <w:pPr/>
      <w:r>
        <w:t>TVA nette = 6 400 − (2 100 + 1 500) = 2 800 € → TVA à décaisser.</w:t>
      </w:r>
    </w:p>
    <w:p>
      <w:pPr/>
      <w:r>
        <w:t>Phrase de conclusion : TVA due à payer sur la période : 2 800 €.</w:t>
      </w:r>
    </w:p>
    <w:p>
      <w:pPr>
        <w:pStyle w:val="Heading1"/>
      </w:pPr>
      <w:r>
        <w:t>5) Check-list de contrôle (style bureau)</w:t>
      </w:r>
    </w:p>
    <w:p>
      <w:pPr>
        <w:pStyle w:val="ListBullet"/>
        <w:spacing w:before="0" w:after="0" w:line="240" w:lineRule="auto"/>
      </w:pPr>
      <w:r>
        <w:rPr>
          <w:sz w:val="21"/>
        </w:rPr>
        <w:t>J’ai ventilé les bases HT par taux (si l’énoncé le demande).</w:t>
      </w:r>
    </w:p>
    <w:p>
      <w:pPr>
        <w:pStyle w:val="ListBullet"/>
        <w:spacing w:before="0" w:after="0" w:line="240" w:lineRule="auto"/>
      </w:pPr>
      <w:r>
        <w:rPr>
          <w:sz w:val="21"/>
        </w:rPr>
        <w:t>J’ai enregistré les ventes : 70x au HT et 44571 pour la TVA collectée.</w:t>
      </w:r>
    </w:p>
    <w:p>
      <w:pPr>
        <w:pStyle w:val="ListBullet"/>
        <w:spacing w:before="0" w:after="0" w:line="240" w:lineRule="auto"/>
      </w:pPr>
      <w:r>
        <w:rPr>
          <w:sz w:val="21"/>
        </w:rPr>
        <w:t>J’ai enregistré les achats : 60x au HT, 44566 (ou 44562 si immo) pour la TVA déductible.</w:t>
      </w:r>
    </w:p>
    <w:p>
      <w:pPr>
        <w:pStyle w:val="ListBullet"/>
        <w:spacing w:before="0" w:after="0" w:line="240" w:lineRule="auto"/>
      </w:pPr>
      <w:r>
        <w:rPr>
          <w:sz w:val="21"/>
        </w:rPr>
        <w:t>J’ai traité les avoirs (client et fournisseur) en sens inverse de la facture initiale.</w:t>
      </w:r>
    </w:p>
    <w:p>
      <w:pPr>
        <w:pStyle w:val="ListBullet"/>
        <w:spacing w:before="0" w:after="0" w:line="240" w:lineRule="auto"/>
      </w:pPr>
      <w:r>
        <w:rPr>
          <w:sz w:val="21"/>
        </w:rPr>
        <w:t>J’ai distingué immobilisations et achats courants (si le dossier contient des immos).</w:t>
      </w:r>
    </w:p>
    <w:p>
      <w:pPr>
        <w:pStyle w:val="ListBullet"/>
        <w:spacing w:before="0" w:after="0" w:line="240" w:lineRule="auto"/>
      </w:pPr>
      <w:r>
        <w:rPr>
          <w:sz w:val="21"/>
        </w:rPr>
        <w:t>J’ai conclu : TVA à décaisser (44551) ou crédit de TVA (44567).</w:t>
      </w:r>
    </w:p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B7280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 w:eastAsia="Calibri"/>
      <w:b/>
      <w:bCs/>
      <w:color w:val="365F91" w:themeColor="accent1" w:themeShade="BF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 w:eastAsia="Calibri"/>
      <w:b/>
      <w:bCs/>
      <w:color w:val="4F81BD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