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9972"/>
      </w:tblGrid>
      <w:tr>
        <w:tc>
          <w:tcPr>
            <w:tcW w:type="dxa" w:w="9972"/>
            <w:shd w:val="clear" w:color="auto" w:fill="0F5E43"/>
            <w:vAlign w:val="center"/>
          </w:tcPr>
          <w:p>
            <w:pPr>
              <w:spacing w:before="80" w:after="80"/>
              <w:jc w:val="center"/>
            </w:pPr>
            <w:r>
              <w:rPr>
                <w:b/>
                <w:color w:val="FFFFFF"/>
                <w:sz w:val="30"/>
              </w:rPr>
              <w:t>Fiche méthode  Dissertation du bac de français</w:t>
            </w:r>
          </w:p>
        </w:tc>
      </w:tr>
    </w:tbl>
    <w:p>
      <w:pPr>
        <w:spacing w:before="120" w:after="80"/>
      </w:pPr>
      <w:r>
        <w:t>Une dissertation réussie repose sur une idée simple  vous répondez à une question littéraire en conduisant une démonstration. Vous avancez par étapes, vous appuyez chaque argument sur un exemple précis, et vous explicitez toujours le lien entre l’exemple et l’idée.</w:t>
      </w:r>
    </w:p>
    <w:p>
      <w:pPr>
        <w:pStyle w:val="ListBullet"/>
        <w:spacing w:after="10"/>
      </w:pPr>
      <w:r>
        <w:t>But attendu  une réponse argumentée, structurée, nuancée</w:t>
      </w:r>
    </w:p>
    <w:p>
      <w:pPr>
        <w:pStyle w:val="ListBullet"/>
        <w:spacing w:after="10"/>
      </w:pPr>
      <w:r>
        <w:t>Règle d’efficacité  exemple + analyse, à chaque étape du raisonnement</w:t>
      </w:r>
    </w:p>
    <w:p>
      <w:pPr>
        <w:pStyle w:val="ListBullet"/>
        <w:spacing w:after="10"/>
      </w:pPr>
      <w:r>
        <w:t>Boussole  progression logique et transitions lisibles</w:t>
      </w:r>
    </w:p>
    <w:p>
      <w:pPr>
        <w:spacing w:before="140" w:after="40"/>
      </w:pPr>
      <w:r>
        <w:rPr>
          <w:b/>
          <w:color w:val="133A2A"/>
          <w:sz w:val="26"/>
        </w:rPr>
        <w:t>Étape 1  Comprendre le sujet</w:t>
      </w:r>
    </w:p>
    <w:p>
      <w:pPr>
        <w:spacing w:after="40"/>
      </w:pPr>
      <w:r>
        <w:t>Repérez les mots directeurs et définissez les notions clés. Reformulez la question avec précision, puis identifiez ce que le sujet vous demande réellement  discuter, nuancer, comparer, ou interroger.</w:t>
      </w:r>
    </w:p>
    <w:p>
      <w:pPr>
        <w:pStyle w:val="ListBullet"/>
        <w:spacing w:after="10"/>
      </w:pPr>
      <w:r>
        <w:t>Reformulation  une phrase simple et fidèle au sujet</w:t>
      </w:r>
    </w:p>
    <w:p>
      <w:pPr>
        <w:pStyle w:val="ListBullet"/>
        <w:spacing w:after="10"/>
      </w:pPr>
      <w:r>
        <w:t>Cadrage  thèmes, limites, enjeux</w:t>
      </w:r>
    </w:p>
    <w:p>
      <w:pPr>
        <w:spacing w:before="140" w:after="40"/>
      </w:pPr>
      <w:r>
        <w:rPr>
          <w:b/>
          <w:color w:val="133A2A"/>
          <w:sz w:val="26"/>
        </w:rPr>
        <w:t>Étape 2  Formuler une problématique</w:t>
      </w:r>
    </w:p>
    <w:p>
      <w:pPr>
        <w:spacing w:after="40"/>
      </w:pPr>
      <w:r>
        <w:t>La problématique éclaire la tension du sujet et donne une direction. Elle ouvre un débat maîtrisé et prépare une réponse progressive, plus juste que l’évidence.</w:t>
      </w:r>
    </w:p>
    <w:p>
      <w:pPr>
        <w:pStyle w:val="ListBullet"/>
        <w:spacing w:after="10"/>
      </w:pPr>
      <w:r>
        <w:t>Faire apparaître une tension ou une limite</w:t>
      </w:r>
    </w:p>
    <w:p>
      <w:pPr>
        <w:pStyle w:val="ListBullet"/>
        <w:spacing w:after="10"/>
      </w:pPr>
      <w:r>
        <w:t>Énoncer une question directrice précise</w:t>
      </w:r>
    </w:p>
    <w:p>
      <w:pPr>
        <w:spacing w:before="140" w:after="40"/>
      </w:pPr>
      <w:r>
        <w:rPr>
          <w:b/>
          <w:color w:val="133A2A"/>
          <w:sz w:val="26"/>
        </w:rPr>
        <w:t>Étape 3  Réunir des arguments et des exemples</w:t>
      </w:r>
    </w:p>
    <w:p>
      <w:pPr>
        <w:spacing w:after="40"/>
      </w:pPr>
      <w:r>
        <w:t>Rassemblez d’abord la matière, puis sélectionnez les exemples qui se prêtent à l’analyse  scène, personnage, passage, procédé. Un exemple devient une preuve seulement lorsqu’il est expliqué.</w:t>
      </w:r>
    </w:p>
    <w:p>
      <w:pPr>
        <w:pStyle w:val="ListBullet"/>
        <w:spacing w:after="10"/>
      </w:pPr>
      <w:r>
        <w:t>Sélection  exemples précis plutôt que références posées</w:t>
      </w:r>
    </w:p>
    <w:p>
      <w:pPr>
        <w:pStyle w:val="ListBullet"/>
        <w:spacing w:after="10"/>
      </w:pPr>
      <w:r>
        <w:t>Analyse  expliquer en quoi l’exemple soutient l’idée</w:t>
      </w:r>
    </w:p>
    <w:p>
      <w:pPr>
        <w:spacing w:before="140" w:after="40"/>
      </w:pPr>
      <w:r>
        <w:rPr>
          <w:b/>
          <w:color w:val="133A2A"/>
          <w:sz w:val="26"/>
        </w:rPr>
        <w:t>Étape 4  Construire un plan</w:t>
      </w:r>
    </w:p>
    <w:p>
      <w:pPr>
        <w:spacing w:after="40"/>
      </w:pPr>
      <w:r>
        <w:t>Choisissez un plan qui fait avancer la réponse. Le correcteur doit sentir une progression, et non une juxtaposition d’idées.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4986"/>
        <w:gridCol w:w="4986"/>
      </w:tblGrid>
      <w:tr>
        <w:tc>
          <w:tcPr>
            <w:tcW w:type="dxa" w:w="4986"/>
            <w:shd w:val="clear" w:color="auto" w:fill="E9F3EE"/>
            <w:tcBorders>
              <w:top w:val="single" w:sz="6" w:color="C8D8D0"/>
              <w:left w:val="single" w:sz="6" w:color="C8D8D0"/>
              <w:bottom w:val="single" w:sz="6" w:color="C8D8D0"/>
              <w:right w:val="single" w:sz="6" w:color="C8D8D0"/>
            </w:tcBorders>
          </w:tcPr>
          <w:p>
            <w:r>
              <w:rPr>
                <w:b/>
              </w:rPr>
              <w:t>Type de plan</w:t>
            </w:r>
          </w:p>
        </w:tc>
        <w:tc>
          <w:tcPr>
            <w:tcW w:type="dxa" w:w="4986"/>
            <w:shd w:val="clear" w:color="auto" w:fill="E9F3EE"/>
            <w:tcBorders>
              <w:top w:val="single" w:sz="6" w:color="C8D8D0"/>
              <w:left w:val="single" w:sz="6" w:color="C8D8D0"/>
              <w:bottom w:val="single" w:sz="6" w:color="C8D8D0"/>
              <w:right w:val="single" w:sz="6" w:color="C8D8D0"/>
            </w:tcBorders>
          </w:tcPr>
          <w:p>
            <w:r>
              <w:rPr>
                <w:b/>
              </w:rPr>
              <w:t>Usage</w:t>
            </w:r>
          </w:p>
        </w:tc>
      </w:tr>
      <w:tr>
        <w:tc>
          <w:tcPr>
            <w:tcW w:type="dxa" w:w="4986"/>
            <w:tcBorders>
              <w:top w:val="single" w:sz="6" w:color="C8D8D0"/>
              <w:left w:val="single" w:sz="6" w:color="C8D8D0"/>
              <w:bottom w:val="single" w:sz="6" w:color="C8D8D0"/>
              <w:right w:val="single" w:sz="6" w:color="C8D8D0"/>
            </w:tcBorders>
          </w:tcPr>
          <w:p>
            <w:r>
              <w:t>Dialectique</w:t>
            </w:r>
          </w:p>
        </w:tc>
        <w:tc>
          <w:tcPr>
            <w:tcW w:type="dxa" w:w="4986"/>
            <w:tcBorders>
              <w:top w:val="single" w:sz="6" w:color="C8D8D0"/>
              <w:left w:val="single" w:sz="6" w:color="C8D8D0"/>
              <w:bottom w:val="single" w:sz="6" w:color="C8D8D0"/>
              <w:right w:val="single" w:sz="6" w:color="C8D8D0"/>
            </w:tcBorders>
          </w:tcPr>
          <w:p>
            <w:r>
              <w:t>Discuter une affirmation et la nuancer</w:t>
            </w:r>
          </w:p>
        </w:tc>
      </w:tr>
      <w:tr>
        <w:tc>
          <w:tcPr>
            <w:tcW w:type="dxa" w:w="4986"/>
            <w:tcBorders>
              <w:top w:val="single" w:sz="6" w:color="C8D8D0"/>
              <w:left w:val="single" w:sz="6" w:color="C8D8D0"/>
              <w:bottom w:val="single" w:sz="6" w:color="C8D8D0"/>
              <w:right w:val="single" w:sz="6" w:color="C8D8D0"/>
            </w:tcBorders>
          </w:tcPr>
          <w:p>
            <w:r>
              <w:t>Thématique</w:t>
            </w:r>
          </w:p>
        </w:tc>
        <w:tc>
          <w:tcPr>
            <w:tcW w:type="dxa" w:w="4986"/>
            <w:tcBorders>
              <w:top w:val="single" w:sz="6" w:color="C8D8D0"/>
              <w:left w:val="single" w:sz="6" w:color="C8D8D0"/>
              <w:bottom w:val="single" w:sz="6" w:color="C8D8D0"/>
              <w:right w:val="single" w:sz="6" w:color="C8D8D0"/>
            </w:tcBorders>
          </w:tcPr>
          <w:p>
            <w:r>
              <w:t>Explorer plusieurs dimensions d’une notion</w:t>
            </w:r>
          </w:p>
        </w:tc>
      </w:tr>
      <w:tr>
        <w:tc>
          <w:tcPr>
            <w:tcW w:type="dxa" w:w="4986"/>
            <w:tcBorders>
              <w:top w:val="single" w:sz="6" w:color="C8D8D0"/>
              <w:left w:val="single" w:sz="6" w:color="C8D8D0"/>
              <w:bottom w:val="single" w:sz="6" w:color="C8D8D0"/>
              <w:right w:val="single" w:sz="6" w:color="C8D8D0"/>
            </w:tcBorders>
          </w:tcPr>
          <w:p>
            <w:r>
              <w:t>Comparatif</w:t>
            </w:r>
          </w:p>
        </w:tc>
        <w:tc>
          <w:tcPr>
            <w:tcW w:type="dxa" w:w="4986"/>
            <w:tcBorders>
              <w:top w:val="single" w:sz="6" w:color="C8D8D0"/>
              <w:left w:val="single" w:sz="6" w:color="C8D8D0"/>
              <w:bottom w:val="single" w:sz="6" w:color="C8D8D0"/>
              <w:right w:val="single" w:sz="6" w:color="C8D8D0"/>
            </w:tcBorders>
          </w:tcPr>
          <w:p>
            <w:r>
              <w:t>Mettre en relation deux points de vue ou deux conceptions</w:t>
            </w:r>
          </w:p>
        </w:tc>
      </w:tr>
    </w:tbl>
    <w:p>
      <w:pPr>
        <w:spacing w:before="140" w:after="40"/>
      </w:pPr>
      <w:r>
        <w:rPr>
          <w:b/>
          <w:color w:val="133A2A"/>
          <w:sz w:val="26"/>
        </w:rPr>
        <w:t>Étape 5  Rédiger introduction, développement, conclusion</w:t>
      </w:r>
    </w:p>
    <w:p>
      <w:pPr>
        <w:spacing w:after="40"/>
      </w:pPr>
      <w:r>
        <w:t>L’introduction installe le sujet, précise les termes, pose la problématique et annonce le plan. Le développement prouve, paragraphe après paragraphe, avec une structure stable  idée, explication, exemple, analyse, mini-bilan. La conclusion répond nettement à la problématique et rappelle le chemin parcouru.</w:t>
      </w:r>
    </w:p>
    <w:p>
      <w:pPr>
        <w:pStyle w:val="ListBullet"/>
        <w:spacing w:after="10"/>
      </w:pPr>
      <w:r>
        <w:t>Transitions  bilan + relance, pour montrer la progression</w:t>
      </w:r>
    </w:p>
    <w:p>
      <w:pPr>
        <w:pStyle w:val="ListBullet"/>
        <w:spacing w:after="10"/>
      </w:pPr>
      <w:r>
        <w:t>Conclusion  réponse claire, puis synthèse brève</w:t>
      </w:r>
    </w:p>
    <w:p>
      <w:pPr>
        <w:spacing w:before="140" w:after="40"/>
      </w:pPr>
      <w:r>
        <w:rPr>
          <w:b/>
          <w:color w:val="133A2A"/>
          <w:sz w:val="26"/>
        </w:rPr>
        <w:t>Trame rapide pour l’introduction</w:t>
      </w:r>
    </w:p>
    <w:p>
      <w:pPr>
        <w:pStyle w:val="ListBullet"/>
        <w:spacing w:after="10"/>
      </w:pPr>
      <w:r>
        <w:t>Contexte  replacer le sujet dans une notion littéraire</w:t>
      </w:r>
    </w:p>
    <w:p>
      <w:pPr>
        <w:pStyle w:val="ListBullet"/>
        <w:spacing w:after="10"/>
      </w:pPr>
      <w:r>
        <w:t>Définition  préciser les termes clés</w:t>
      </w:r>
    </w:p>
    <w:p>
      <w:pPr>
        <w:pStyle w:val="ListBullet"/>
        <w:spacing w:after="10"/>
      </w:pPr>
      <w:r>
        <w:t>Problématique  formuler la question directrice</w:t>
      </w:r>
    </w:p>
    <w:p>
      <w:pPr>
        <w:pStyle w:val="ListBullet"/>
        <w:spacing w:after="10"/>
      </w:pPr>
      <w:r>
        <w:t>Annonce du plan  présenter la progression en deux ou trois axes</w:t>
      </w:r>
    </w:p>
    <w:p>
      <w:pPr>
        <w:spacing w:before="140" w:after="40"/>
      </w:pPr>
      <w:r>
        <w:rPr>
          <w:b/>
          <w:color w:val="133A2A"/>
          <w:sz w:val="26"/>
        </w:rPr>
        <w:t>Gestion du temps</w:t>
      </w:r>
    </w:p>
    <w:p>
      <w:pPr>
        <w:spacing w:after="40"/>
      </w:pPr>
      <w:r>
        <w:t>Répartissez votre temps entre analyse, plan, rédaction, puis relecture. La relecture sécurise la langue et la logique  accords, ponctuation, cohérence des transitions, précision du vocabulaire.</w:t>
      </w:r>
    </w:p>
    <w:p>
      <w:pPr>
        <w:pStyle w:val="ListBullet"/>
        <w:spacing w:after="10"/>
      </w:pPr>
      <w:r>
        <w:t>Analyse + plan  environ la moitié du temps</w:t>
      </w:r>
    </w:p>
    <w:p>
      <w:pPr>
        <w:pStyle w:val="ListBullet"/>
        <w:spacing w:after="10"/>
      </w:pPr>
      <w:r>
        <w:t>Rédaction + relecture  environ la moitié du temps</w:t>
      </w:r>
    </w:p>
    <w:p>
      <w:pPr>
        <w:spacing w:before="140" w:after="40"/>
      </w:pPr>
      <w:r>
        <w:rPr>
          <w:b/>
          <w:color w:val="133A2A"/>
          <w:sz w:val="26"/>
        </w:rPr>
        <w:t>Erreurs fréquentes à éviter</w:t>
      </w:r>
    </w:p>
    <w:p>
      <w:pPr>
        <w:pStyle w:val="ListBullet"/>
        <w:spacing w:after="10"/>
      </w:pPr>
      <w:r>
        <w:t>Raconter une œuvre au lieu d’analyser</w:t>
      </w:r>
    </w:p>
    <w:p>
      <w:pPr>
        <w:pStyle w:val="ListBullet"/>
        <w:spacing w:after="10"/>
      </w:pPr>
      <w:r>
        <w:t>Empiler des références sans expliquer leur rôle</w:t>
      </w:r>
    </w:p>
    <w:p>
      <w:pPr>
        <w:pStyle w:val="ListBullet"/>
        <w:spacing w:after="10"/>
      </w:pPr>
      <w:r>
        <w:t>Répéter la même idée sous trois formes différentes</w:t>
      </w:r>
    </w:p>
    <w:p>
      <w:pPr>
        <w:pStyle w:val="ListBullet"/>
        <w:spacing w:after="10"/>
      </w:pPr>
      <w:r>
        <w:t>Oublier les transitions et perdre la progression du raisonnement</w:t>
      </w:r>
    </w:p>
    <w:p>
      <w:pPr>
        <w:spacing w:before="140" w:after="40"/>
      </w:pPr>
      <w:r>
        <w:rPr>
          <w:b/>
          <w:color w:val="133A2A"/>
          <w:sz w:val="26"/>
        </w:rPr>
        <w:t>Connecteurs utiles</w:t>
      </w:r>
    </w:p>
    <w:p>
      <w:pPr>
        <w:pStyle w:val="ListBullet"/>
        <w:spacing w:after="10"/>
      </w:pPr>
      <w:r>
        <w:t>Pour organiser  d’abord, ensuite, enfin</w:t>
      </w:r>
    </w:p>
    <w:p>
      <w:pPr>
        <w:pStyle w:val="ListBullet"/>
        <w:spacing w:after="10"/>
      </w:pPr>
      <w:r>
        <w:t>Pour nuancer  pourtant, néanmoins, toutefois</w:t>
      </w:r>
    </w:p>
    <w:p>
      <w:pPr>
        <w:pStyle w:val="ListBullet"/>
        <w:spacing w:after="10"/>
      </w:pPr>
      <w:r>
        <w:t>Pour conclure  ainsi, dès lors, en somme</w:t>
      </w:r>
    </w:p>
    <w:p>
      <w:pPr>
        <w:spacing w:before="140" w:after="40"/>
      </w:pPr>
      <w:r>
        <w:rPr>
          <w:b/>
          <w:color w:val="133A2A"/>
          <w:sz w:val="26"/>
        </w:rPr>
        <w:t>Checklist avant de rendre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4986"/>
        <w:gridCol w:w="4986"/>
      </w:tblGrid>
      <w:tr>
        <w:tc>
          <w:tcPr>
            <w:tcW w:type="dxa" w:w="4986"/>
            <w:shd w:val="clear" w:color="auto" w:fill="E9F3EE"/>
            <w:tcBorders>
              <w:top w:val="single" w:sz="6" w:color="C8D8D0"/>
              <w:left w:val="single" w:sz="6" w:color="C8D8D0"/>
              <w:bottom w:val="single" w:sz="6" w:color="C8D8D0"/>
              <w:right w:val="single" w:sz="6" w:color="C8D8D0"/>
            </w:tcBorders>
          </w:tcPr>
          <w:p>
            <w:r>
              <w:rPr>
                <w:b/>
              </w:rPr>
              <w:t>Vérification</w:t>
            </w:r>
          </w:p>
        </w:tc>
        <w:tc>
          <w:tcPr>
            <w:tcW w:type="dxa" w:w="4986"/>
            <w:shd w:val="clear" w:color="auto" w:fill="E9F3EE"/>
            <w:tcBorders>
              <w:top w:val="single" w:sz="6" w:color="C8D8D0"/>
              <w:left w:val="single" w:sz="6" w:color="C8D8D0"/>
              <w:bottom w:val="single" w:sz="6" w:color="C8D8D0"/>
              <w:right w:val="single" w:sz="6" w:color="C8D8D0"/>
            </w:tcBorders>
          </w:tcPr>
          <w:p>
            <w:r>
              <w:rPr>
                <w:b/>
              </w:rPr>
              <w:t>OK</w:t>
            </w:r>
          </w:p>
        </w:tc>
      </w:tr>
      <w:tr>
        <w:tc>
          <w:tcPr>
            <w:tcW w:type="dxa" w:w="4986"/>
            <w:tcBorders>
              <w:top w:val="single" w:sz="6" w:color="C8D8D0"/>
              <w:left w:val="single" w:sz="6" w:color="C8D8D0"/>
              <w:bottom w:val="single" w:sz="6" w:color="C8D8D0"/>
              <w:right w:val="single" w:sz="6" w:color="C8D8D0"/>
            </w:tcBorders>
          </w:tcPr>
          <w:p>
            <w:r>
              <w:t>Problématique visible et précise</w:t>
            </w:r>
          </w:p>
        </w:tc>
        <w:tc>
          <w:tcPr>
            <w:tcW w:type="dxa" w:w="4986"/>
            <w:tcBorders>
              <w:top w:val="single" w:sz="6" w:color="C8D8D0"/>
              <w:left w:val="single" w:sz="6" w:color="C8D8D0"/>
              <w:bottom w:val="single" w:sz="6" w:color="C8D8D0"/>
              <w:right w:val="single" w:sz="6" w:color="C8D8D0"/>
            </w:tcBorders>
          </w:tcPr>
          <w:p>
            <w:r>
              <w:t>☐</w:t>
            </w:r>
          </w:p>
        </w:tc>
      </w:tr>
      <w:tr>
        <w:tc>
          <w:tcPr>
            <w:tcW w:type="dxa" w:w="4986"/>
            <w:tcBorders>
              <w:top w:val="single" w:sz="6" w:color="C8D8D0"/>
              <w:left w:val="single" w:sz="6" w:color="C8D8D0"/>
              <w:bottom w:val="single" w:sz="6" w:color="C8D8D0"/>
              <w:right w:val="single" w:sz="6" w:color="C8D8D0"/>
            </w:tcBorders>
          </w:tcPr>
          <w:p>
            <w:r>
              <w:t>Plan cohérent et progressif</w:t>
            </w:r>
          </w:p>
        </w:tc>
        <w:tc>
          <w:tcPr>
            <w:tcW w:type="dxa" w:w="4986"/>
            <w:tcBorders>
              <w:top w:val="single" w:sz="6" w:color="C8D8D0"/>
              <w:left w:val="single" w:sz="6" w:color="C8D8D0"/>
              <w:bottom w:val="single" w:sz="6" w:color="C8D8D0"/>
              <w:right w:val="single" w:sz="6" w:color="C8D8D0"/>
            </w:tcBorders>
          </w:tcPr>
          <w:p>
            <w:r>
              <w:t>☐</w:t>
            </w:r>
          </w:p>
        </w:tc>
      </w:tr>
      <w:tr>
        <w:tc>
          <w:tcPr>
            <w:tcW w:type="dxa" w:w="4986"/>
            <w:tcBorders>
              <w:top w:val="single" w:sz="6" w:color="C8D8D0"/>
              <w:left w:val="single" w:sz="6" w:color="C8D8D0"/>
              <w:bottom w:val="single" w:sz="6" w:color="C8D8D0"/>
              <w:right w:val="single" w:sz="6" w:color="C8D8D0"/>
            </w:tcBorders>
          </w:tcPr>
          <w:p>
            <w:r>
              <w:t>Chaque paragraphe contient exemple et analyse</w:t>
            </w:r>
          </w:p>
        </w:tc>
        <w:tc>
          <w:tcPr>
            <w:tcW w:type="dxa" w:w="4986"/>
            <w:tcBorders>
              <w:top w:val="single" w:sz="6" w:color="C8D8D0"/>
              <w:left w:val="single" w:sz="6" w:color="C8D8D0"/>
              <w:bottom w:val="single" w:sz="6" w:color="C8D8D0"/>
              <w:right w:val="single" w:sz="6" w:color="C8D8D0"/>
            </w:tcBorders>
          </w:tcPr>
          <w:p>
            <w:r>
              <w:t>☐</w:t>
            </w:r>
          </w:p>
        </w:tc>
      </w:tr>
      <w:tr>
        <w:tc>
          <w:tcPr>
            <w:tcW w:type="dxa" w:w="4986"/>
            <w:tcBorders>
              <w:top w:val="single" w:sz="6" w:color="C8D8D0"/>
              <w:left w:val="single" w:sz="6" w:color="C8D8D0"/>
              <w:bottom w:val="single" w:sz="6" w:color="C8D8D0"/>
              <w:right w:val="single" w:sz="6" w:color="C8D8D0"/>
            </w:tcBorders>
          </w:tcPr>
          <w:p>
            <w:r>
              <w:t>Transitions présentes et utiles</w:t>
            </w:r>
          </w:p>
        </w:tc>
        <w:tc>
          <w:tcPr>
            <w:tcW w:type="dxa" w:w="4986"/>
            <w:tcBorders>
              <w:top w:val="single" w:sz="6" w:color="C8D8D0"/>
              <w:left w:val="single" w:sz="6" w:color="C8D8D0"/>
              <w:bottom w:val="single" w:sz="6" w:color="C8D8D0"/>
              <w:right w:val="single" w:sz="6" w:color="C8D8D0"/>
            </w:tcBorders>
          </w:tcPr>
          <w:p>
            <w:r>
              <w:t>☐</w:t>
            </w:r>
          </w:p>
        </w:tc>
      </w:tr>
      <w:tr>
        <w:tc>
          <w:tcPr>
            <w:tcW w:type="dxa" w:w="4986"/>
            <w:tcBorders>
              <w:top w:val="single" w:sz="6" w:color="C8D8D0"/>
              <w:left w:val="single" w:sz="6" w:color="C8D8D0"/>
              <w:bottom w:val="single" w:sz="6" w:color="C8D8D0"/>
              <w:right w:val="single" w:sz="6" w:color="C8D8D0"/>
            </w:tcBorders>
          </w:tcPr>
          <w:p>
            <w:r>
              <w:t>Langue soignée et lisibilité correcte</w:t>
            </w:r>
          </w:p>
        </w:tc>
        <w:tc>
          <w:tcPr>
            <w:tcW w:type="dxa" w:w="4986"/>
            <w:tcBorders>
              <w:top w:val="single" w:sz="6" w:color="C8D8D0"/>
              <w:left w:val="single" w:sz="6" w:color="C8D8D0"/>
              <w:bottom w:val="single" w:sz="6" w:color="C8D8D0"/>
              <w:right w:val="single" w:sz="6" w:color="C8D8D0"/>
            </w:tcBorders>
          </w:tcPr>
          <w:p>
            <w:r>
              <w:t>☐</w:t>
            </w:r>
          </w:p>
        </w:tc>
      </w:tr>
    </w:tbl>
    <w:sectPr w:rsidR="00FC693F" w:rsidRPr="0006063C" w:rsidSect="00034616">
      <w:footerReference w:type="default" r:id="rId9"/>
      <w:pgSz w:w="12240" w:h="15840"/>
      <w:pgMar w:top="1020" w:right="1134" w:bottom="1020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color w:val="666666"/>
        <w:sz w:val="18"/>
      </w:rPr>
      <w:t>lecoursgratuit.com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 w:eastAsia="Calibri"/>
      <w:sz w:val="21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