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1B5E20"/>
            <w:vAlign w:val="center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Quiz Immobilier - Agent Immobilier</w:t>
            </w:r>
          </w:p>
        </w:tc>
      </w:tr>
    </w:tbl>
    <w:p/>
    <w:p>
      <w:pPr>
        <w:jc w:val="center"/>
      </w:pPr>
      <w:r>
        <w:rPr>
          <w:b/>
          <w:color w:val="1B5E20"/>
          <w:sz w:val="26"/>
        </w:rPr>
        <w:t>Version entretien &amp; formation | QCM + mini-cas (avec grille d’évaluation)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5213"/>
            <w:shd w:val="clear" w:color="auto" w:fill="F1F5F2"/>
          </w:tcPr>
          <w:p>
            <w:r>
              <w:rPr>
                <w:sz w:val="20"/>
              </w:rPr>
              <w:t>Candidat</w:t>
            </w:r>
          </w:p>
        </w:tc>
        <w:tc>
          <w:tcPr>
            <w:tcW w:type="dxa" w:w="5213"/>
            <w:shd w:val="clear" w:color="auto" w:fill="FFFFFF"/>
          </w:tcPr>
          <w:p>
            <w:r>
              <w:rPr>
                <w:sz w:val="20"/>
              </w:rPr>
              <w:t>______________________________</w:t>
            </w:r>
          </w:p>
        </w:tc>
      </w:tr>
      <w:tr>
        <w:tc>
          <w:tcPr>
            <w:tcW w:type="dxa" w:w="5213"/>
            <w:shd w:val="clear" w:color="auto" w:fill="F1F5F2"/>
          </w:tcPr>
          <w:p>
            <w:r>
              <w:rPr>
                <w:sz w:val="20"/>
              </w:rPr>
              <w:t>Date</w:t>
            </w:r>
          </w:p>
        </w:tc>
        <w:tc>
          <w:tcPr>
            <w:tcW w:type="dxa" w:w="5213"/>
            <w:shd w:val="clear" w:color="auto" w:fill="FFFFFF"/>
          </w:tcPr>
          <w:p>
            <w:r>
              <w:rPr>
                <w:sz w:val="20"/>
              </w:rPr>
              <w:t>______________________________</w:t>
            </w:r>
          </w:p>
        </w:tc>
      </w:tr>
      <w:tr>
        <w:tc>
          <w:tcPr>
            <w:tcW w:type="dxa" w:w="5213"/>
            <w:shd w:val="clear" w:color="auto" w:fill="F1F5F2"/>
          </w:tcPr>
          <w:p>
            <w:r>
              <w:rPr>
                <w:sz w:val="20"/>
              </w:rPr>
              <w:t>Évaluateur</w:t>
            </w:r>
          </w:p>
        </w:tc>
        <w:tc>
          <w:tcPr>
            <w:tcW w:type="dxa" w:w="5213"/>
            <w:shd w:val="clear" w:color="auto" w:fill="FFFFFF"/>
          </w:tcPr>
          <w:p>
            <w:r>
              <w:rPr>
                <w:sz w:val="20"/>
              </w:rPr>
              <w:t>______________________________</w:t>
            </w:r>
          </w:p>
        </w:tc>
      </w:tr>
      <w:tr>
        <w:tc>
          <w:tcPr>
            <w:tcW w:type="dxa" w:w="5213"/>
            <w:shd w:val="clear" w:color="auto" w:fill="F1F5F2"/>
          </w:tcPr>
          <w:p>
            <w:r>
              <w:rPr>
                <w:sz w:val="20"/>
              </w:rPr>
              <w:t>Résultat QCM</w:t>
            </w:r>
          </w:p>
        </w:tc>
        <w:tc>
          <w:tcPr>
            <w:tcW w:type="dxa" w:w="5213"/>
            <w:shd w:val="clear" w:color="auto" w:fill="FFFFFF"/>
          </w:tcPr>
          <w:p>
            <w:r>
              <w:rPr>
                <w:sz w:val="20"/>
              </w:rPr>
              <w:t>____ / 20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3F2FD"/>
            <w:tcBorders>
              <w:top w:sz="12" w:val="single" w:color="2F6FB0"/>
              <w:left w:sz="12" w:val="single" w:color="2F6FB0"/>
              <w:bottom w:sz="12" w:val="single" w:color="2F6FB0"/>
              <w:right w:sz="12" w:val="single" w:color="2F6FB0"/>
            </w:tcBorders>
          </w:tcPr>
          <w:p>
            <w:r>
              <w:rPr>
                <w:b/>
                <w:color w:val="1B5E20"/>
                <w:sz w:val="22"/>
              </w:rPr>
              <w:t>Consigne</w:t>
              <w:br/>
            </w:r>
          </w:p>
          <w:p>
            <w:pPr>
              <w:pStyle w:val="ListBullet"/>
            </w:pPr>
            <w:r>
              <w:rPr>
                <w:sz w:val="21"/>
              </w:rPr>
              <w:t>Ce modèle combine un QCM rapide (20 questions) et 3 mini-cas.</w:t>
            </w:r>
          </w:p>
          <w:p>
            <w:pPr>
              <w:pStyle w:val="ListBullet"/>
            </w:pPr>
            <w:r>
              <w:rPr>
                <w:sz w:val="21"/>
              </w:rPr>
              <w:t>Objectif : évaluer les réflexes et la capacité à structurer une décision.</w:t>
            </w:r>
          </w:p>
          <w:p>
            <w:pPr>
              <w:pStyle w:val="ListBullet"/>
            </w:pPr>
            <w:r>
              <w:rPr>
                <w:sz w:val="21"/>
              </w:rPr>
              <w:t>Réponses attendues : factuelles, organisées, et centrées sur la méthode.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8F5E9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1B5E20"/>
                <w:sz w:val="24"/>
              </w:rPr>
              <w:t>Grille d’évaluation (entretien / formation)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85"/>
        <w:gridCol w:w="2085"/>
        <w:gridCol w:w="2085"/>
        <w:gridCol w:w="2085"/>
        <w:gridCol w:w="2085"/>
      </w:tblGrid>
      <w:tr>
        <w:tc>
          <w:tcPr>
            <w:tcW w:type="dxa" w:w="2085"/>
            <w:shd w:val="clear" w:color="auto" w:fill="1B5E20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Compétence</w:t>
            </w:r>
          </w:p>
        </w:tc>
        <w:tc>
          <w:tcPr>
            <w:tcW w:type="dxa" w:w="2085"/>
            <w:shd w:val="clear" w:color="auto" w:fill="1B5E20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Description</w:t>
            </w:r>
          </w:p>
        </w:tc>
        <w:tc>
          <w:tcPr>
            <w:tcW w:type="dxa" w:w="2085"/>
            <w:shd w:val="clear" w:color="auto" w:fill="1B5E20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Niveau (1-5)</w:t>
            </w:r>
          </w:p>
        </w:tc>
        <w:tc>
          <w:tcPr>
            <w:tcW w:type="dxa" w:w="2085"/>
            <w:shd w:val="clear" w:color="auto" w:fill="1B5E20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Observations</w:t>
            </w:r>
          </w:p>
        </w:tc>
        <w:tc>
          <w:tcPr>
            <w:tcW w:type="dxa" w:w="2085"/>
            <w:shd w:val="clear" w:color="auto" w:fill="1B5E20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Actions</w:t>
            </w:r>
          </w:p>
        </w:tc>
      </w:tr>
      <w:tr>
        <w:tc>
          <w:tcPr>
            <w:tcW w:type="dxa" w:w="2085"/>
          </w:tcPr>
          <w:p>
            <w:r>
              <w:rPr>
                <w:sz w:val="19"/>
              </w:rPr>
              <w:t>Conformité &amp; méthode</w:t>
            </w:r>
          </w:p>
        </w:tc>
        <w:tc>
          <w:tcPr>
            <w:tcW w:type="dxa" w:w="2085"/>
          </w:tcPr>
          <w:p>
            <w:r>
              <w:rPr>
                <w:sz w:val="19"/>
              </w:rPr>
              <w:t>Mandat, dossier, traçabilité, vérifications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19"/>
              </w:rPr>
              <w:t>□1  □2  □3  □4  □5</w:t>
            </w:r>
          </w:p>
        </w:tc>
        <w:tc>
          <w:tcPr>
            <w:tcW w:type="dxa" w:w="2085"/>
          </w:tcPr>
          <w:p>
            <w:r>
              <w:rPr>
                <w:sz w:val="19"/>
              </w:rPr>
            </w:r>
          </w:p>
        </w:tc>
        <w:tc>
          <w:tcPr>
            <w:tcW w:type="dxa" w:w="2085"/>
          </w:tcPr>
          <w:p>
            <w:r>
              <w:rPr>
                <w:sz w:val="19"/>
              </w:rPr>
            </w:r>
          </w:p>
        </w:tc>
      </w:tr>
      <w:tr>
        <w:tc>
          <w:tcPr>
            <w:tcW w:type="dxa" w:w="2085"/>
            <w:shd w:val="clear" w:color="auto" w:fill="F6F9F6"/>
          </w:tcPr>
          <w:p>
            <w:r>
              <w:rPr>
                <w:sz w:val="19"/>
              </w:rPr>
              <w:t>Commercialisation</w:t>
            </w:r>
          </w:p>
        </w:tc>
        <w:tc>
          <w:tcPr>
            <w:tcW w:type="dxa" w:w="2085"/>
            <w:shd w:val="clear" w:color="auto" w:fill="F6F9F6"/>
          </w:tcPr>
          <w:p>
            <w:r>
              <w:rPr>
                <w:sz w:val="19"/>
              </w:rPr>
              <w:t>Annonce, photos, argumentaire, cohérence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19"/>
              </w:rPr>
              <w:t>□1  □2  □3  □4  □5</w:t>
            </w:r>
          </w:p>
        </w:tc>
        <w:tc>
          <w:tcPr>
            <w:tcW w:type="dxa" w:w="2085"/>
            <w:shd w:val="clear" w:color="auto" w:fill="F6F9F6"/>
          </w:tcPr>
          <w:p>
            <w:r>
              <w:rPr>
                <w:sz w:val="19"/>
              </w:rPr>
            </w:r>
          </w:p>
        </w:tc>
        <w:tc>
          <w:tcPr>
            <w:tcW w:type="dxa" w:w="2085"/>
            <w:shd w:val="clear" w:color="auto" w:fill="F6F9F6"/>
          </w:tcPr>
          <w:p>
            <w:r>
              <w:rPr>
                <w:sz w:val="19"/>
              </w:rPr>
            </w:r>
          </w:p>
        </w:tc>
      </w:tr>
      <w:tr>
        <w:tc>
          <w:tcPr>
            <w:tcW w:type="dxa" w:w="2085"/>
          </w:tcPr>
          <w:p>
            <w:r>
              <w:rPr>
                <w:sz w:val="19"/>
              </w:rPr>
              <w:t>Conduite de visite</w:t>
            </w:r>
          </w:p>
        </w:tc>
        <w:tc>
          <w:tcPr>
            <w:tcW w:type="dxa" w:w="2085"/>
          </w:tcPr>
          <w:p>
            <w:r>
              <w:rPr>
                <w:sz w:val="19"/>
              </w:rPr>
              <w:t>Découverte, cadrage, objections, next step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19"/>
              </w:rPr>
              <w:t>□1  □2  □3  □4  □5</w:t>
            </w:r>
          </w:p>
        </w:tc>
        <w:tc>
          <w:tcPr>
            <w:tcW w:type="dxa" w:w="2085"/>
          </w:tcPr>
          <w:p>
            <w:r>
              <w:rPr>
                <w:sz w:val="19"/>
              </w:rPr>
            </w:r>
          </w:p>
        </w:tc>
        <w:tc>
          <w:tcPr>
            <w:tcW w:type="dxa" w:w="2085"/>
          </w:tcPr>
          <w:p>
            <w:r>
              <w:rPr>
                <w:sz w:val="19"/>
              </w:rPr>
            </w:r>
          </w:p>
        </w:tc>
      </w:tr>
      <w:tr>
        <w:tc>
          <w:tcPr>
            <w:tcW w:type="dxa" w:w="2085"/>
            <w:shd w:val="clear" w:color="auto" w:fill="F6F9F6"/>
          </w:tcPr>
          <w:p>
            <w:r>
              <w:rPr>
                <w:sz w:val="19"/>
              </w:rPr>
              <w:t>Négociation</w:t>
            </w:r>
          </w:p>
        </w:tc>
        <w:tc>
          <w:tcPr>
            <w:tcW w:type="dxa" w:w="2085"/>
            <w:shd w:val="clear" w:color="auto" w:fill="F6F9F6"/>
          </w:tcPr>
          <w:p>
            <w:r>
              <w:rPr>
                <w:sz w:val="19"/>
              </w:rPr>
              <w:t>Posture, éléments objectifs, scénarios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19"/>
              </w:rPr>
              <w:t>□1  □2  □3  □4  □5</w:t>
            </w:r>
          </w:p>
        </w:tc>
        <w:tc>
          <w:tcPr>
            <w:tcW w:type="dxa" w:w="2085"/>
            <w:shd w:val="clear" w:color="auto" w:fill="F6F9F6"/>
          </w:tcPr>
          <w:p>
            <w:r>
              <w:rPr>
                <w:sz w:val="19"/>
              </w:rPr>
            </w:r>
          </w:p>
        </w:tc>
        <w:tc>
          <w:tcPr>
            <w:tcW w:type="dxa" w:w="2085"/>
            <w:shd w:val="clear" w:color="auto" w:fill="F6F9F6"/>
          </w:tcPr>
          <w:p>
            <w:r>
              <w:rPr>
                <w:sz w:val="19"/>
              </w:rPr>
            </w:r>
          </w:p>
        </w:tc>
      </w:tr>
      <w:tr>
        <w:tc>
          <w:tcPr>
            <w:tcW w:type="dxa" w:w="2085"/>
          </w:tcPr>
          <w:p>
            <w:r>
              <w:rPr>
                <w:sz w:val="19"/>
              </w:rPr>
              <w:t>Qualité de conseil</w:t>
            </w:r>
          </w:p>
        </w:tc>
        <w:tc>
          <w:tcPr>
            <w:tcW w:type="dxa" w:w="2085"/>
          </w:tcPr>
          <w:p>
            <w:r>
              <w:rPr>
                <w:sz w:val="19"/>
              </w:rPr>
              <w:t>Clarté, pédagogie, gestion du risque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19"/>
              </w:rPr>
              <w:t>□1  □2  □3  □4  □5</w:t>
            </w:r>
          </w:p>
        </w:tc>
        <w:tc>
          <w:tcPr>
            <w:tcW w:type="dxa" w:w="2085"/>
          </w:tcPr>
          <w:p>
            <w:r>
              <w:rPr>
                <w:sz w:val="19"/>
              </w:rPr>
            </w:r>
          </w:p>
        </w:tc>
        <w:tc>
          <w:tcPr>
            <w:tcW w:type="dxa" w:w="2085"/>
          </w:tcPr>
          <w:p>
            <w:r>
              <w:rPr>
                <w:sz w:val="19"/>
              </w:rPr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8F5E9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1B5E20"/>
                <w:sz w:val="24"/>
              </w:rPr>
              <w:t>Partie A - QCM (20 questions)</w:t>
            </w:r>
          </w:p>
        </w:tc>
      </w:tr>
    </w:tbl>
    <w:p/>
    <w:p>
      <w:r>
        <w:rPr>
          <w:b/>
          <w:sz w:val="22"/>
        </w:rPr>
        <w:t>1. Dans une prise de mandat, l’élément le plus critique à clarifier dès le départ est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La couleur des murs après home staging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prix souhaité et la méthode d’estimation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nom de l’architecte du quartier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jour idéal pour les visites uniquement</w:t>
            </w:r>
          </w:p>
        </w:tc>
      </w:tr>
    </w:tbl>
    <w:p/>
    <w:p>
      <w:r>
        <w:rPr>
          <w:b/>
          <w:sz w:val="22"/>
        </w:rPr>
        <w:t>2. Lorsqu’un acheteur demande « pourquoi ce prix ? », la réponse la plus professionnelle repose sur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coût des meubles visibles sur les photos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Des comparables récents + des ajustements expliqués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montant du prêt de l’acheteur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ressenti général du vendeur</w:t>
            </w:r>
          </w:p>
        </w:tc>
      </w:tr>
    </w:tbl>
    <w:p/>
    <w:p>
      <w:r>
        <w:rPr>
          <w:b/>
          <w:sz w:val="22"/>
        </w:rPr>
        <w:t>3. Une annonce performante et sûre doit être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Plus belle que précise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Précise, cohérente avec le dossier, et sans promesse implicite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Très vague pour attirer tout le monde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Copiée d’un concurrent pour aller vite</w:t>
            </w:r>
          </w:p>
        </w:tc>
      </w:tr>
    </w:tbl>
    <w:p/>
    <w:p>
      <w:r>
        <w:rPr>
          <w:b/>
          <w:sz w:val="22"/>
        </w:rPr>
        <w:t>4. En visite, la meilleure façon de traiter un défaut (bruit, travaux, charges) est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De l’ignorer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De le minimiser à tout prix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De l’assumer, le cadrer, et proposer une vérification ou une solution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De changer de sujet immédiatement</w:t>
            </w:r>
          </w:p>
        </w:tc>
      </w:tr>
    </w:tbl>
    <w:p/>
    <w:p>
      <w:r>
        <w:rPr>
          <w:b/>
          <w:sz w:val="22"/>
        </w:rPr>
        <w:t>5. Après une visite positive, l’étape la plus utile consiste à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Attendre que le client revienne seul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Proposer un next step clair (offre, documents, calendrier)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Relancer uniquement sur le prix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Envoyer 25 photos supplémentaires</w:t>
            </w:r>
          </w:p>
        </w:tc>
      </w:tr>
    </w:tbl>
    <w:p/>
    <w:p>
      <w:r>
        <w:rPr>
          <w:b/>
          <w:sz w:val="22"/>
        </w:rPr>
        <w:t>6. Une offre d’achat solide mentionne idéalement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prix seulement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prix, les conditions, le délai, et l’élément financement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Une phrase vague : « je confirme mon intérêt »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 engagement oral au téléphone</w:t>
            </w:r>
          </w:p>
        </w:tc>
      </w:tr>
    </w:tbl>
    <w:p/>
    <w:p>
      <w:r>
        <w:rPr>
          <w:b/>
          <w:sz w:val="22"/>
        </w:rPr>
        <w:t>7. Le risque le plus fréquent d’un dossier vendeur incomplet est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 texte d’annonce trop court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 blocage au moment de l’avant-contrat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Une visite trop longue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 mandat trop rapide</w:t>
            </w:r>
          </w:p>
        </w:tc>
      </w:tr>
    </w:tbl>
    <w:p/>
    <w:p>
      <w:r>
        <w:rPr>
          <w:b/>
          <w:sz w:val="22"/>
        </w:rPr>
        <w:t>8. Sur un bien à forte sensibilité énergétique, l’agent renforce surtout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La musique d’ambiance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La transparence : scénarios de travaux, impacts et cadre de négociation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La promesse d’une baisse automatique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silence sur le sujet</w:t>
            </w:r>
          </w:p>
        </w:tc>
      </w:tr>
    </w:tbl>
    <w:p/>
    <w:p>
      <w:r>
        <w:rPr>
          <w:b/>
          <w:sz w:val="22"/>
        </w:rPr>
        <w:t>9. En copropriété, un signal d’alerte commercial (à investiguer) est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Une façade récente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Des travaux votés ou une hausse notable de charges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 ascenseur en bon état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Une bonne exposition</w:t>
            </w:r>
          </w:p>
        </w:tc>
      </w:tr>
    </w:tbl>
    <w:p/>
    <w:p>
      <w:r>
        <w:rPr>
          <w:b/>
          <w:sz w:val="22"/>
        </w:rPr>
        <w:t>10. En négociation, la meilleure posture face à une demande agressive est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Accepter immédiatement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Refuser sans écouter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Demander les motifs et répondre point par point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Mettre fin à l’échange</w:t>
            </w:r>
          </w:p>
        </w:tc>
      </w:tr>
    </w:tbl>
    <w:p/>
    <w:p>
      <w:r>
        <w:rPr>
          <w:b/>
          <w:sz w:val="22"/>
        </w:rPr>
        <w:t>11. L’erreur qui coûte le plus souvent du temps en transaction est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 plan de visite trop détaillé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Une approximation sur un point déterminant (surface, charges, état)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 mail trop long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 appel manqué</w:t>
            </w:r>
          </w:p>
        </w:tc>
      </w:tr>
    </w:tbl>
    <w:p/>
    <w:p>
      <w:r>
        <w:rPr>
          <w:b/>
          <w:sz w:val="22"/>
        </w:rPr>
        <w:t>12. Dans un suivi acquéreur, une qualification efficace commence par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style de décoration préféré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Budget, projet, délais, financement, critères non négociables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nombre de visites souhaitées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nom du banquier seulement</w:t>
            </w:r>
          </w:p>
        </w:tc>
      </w:tr>
    </w:tbl>
    <w:p/>
    <w:p>
      <w:r>
        <w:rPr>
          <w:b/>
          <w:sz w:val="22"/>
        </w:rPr>
        <w:t>13. L’intérêt d’une check-list d’agence est surtout de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Rendre les dossiers plus épais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Standardiser les vérifications et réduire les oublis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Remplacer la relation humaine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Faire moins de visites</w:t>
            </w:r>
          </w:p>
        </w:tc>
      </w:tr>
    </w:tbl>
    <w:p/>
    <w:p>
      <w:r>
        <w:rPr>
          <w:b/>
          <w:sz w:val="22"/>
        </w:rPr>
        <w:t>14. Quand un vendeur refuse d’ajuster un prix manifestement hors marché, le meilleur levier est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La pression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La démonstration : comparables, délais, stratégie, conséquences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silence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 mandat plus long</w:t>
            </w:r>
          </w:p>
        </w:tc>
      </w:tr>
    </w:tbl>
    <w:p/>
    <w:p>
      <w:r>
        <w:rPr>
          <w:b/>
          <w:sz w:val="22"/>
        </w:rPr>
        <w:t>15. Une relance efficace après une visite est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 message générique envoyé à tous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 point court : ressenti, objections, action suivante, délai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Une nouvelle annonce envoyée sans contexte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Une demande de décision immédiate</w:t>
            </w:r>
          </w:p>
        </w:tc>
      </w:tr>
    </w:tbl>
    <w:p/>
    <w:p>
      <w:r>
        <w:rPr>
          <w:b/>
          <w:sz w:val="22"/>
        </w:rPr>
        <w:t>16. Une contre-visite est particulièrement utile lorsque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client n’a pas aimé le bien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Des points techniques restent à vérifier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vendeur est absent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prix est déjà accepté</w:t>
            </w:r>
          </w:p>
        </w:tc>
      </w:tr>
    </w:tbl>
    <w:p/>
    <w:p>
      <w:r>
        <w:rPr>
          <w:b/>
          <w:sz w:val="22"/>
        </w:rPr>
        <w:t>17. Un bon agent protège la relation en restant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Flou pour garder une marge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Factuel, cohérent, traçable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Très enthousiaste même sur les défauts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Silencieux sur le dossier</w:t>
            </w:r>
          </w:p>
        </w:tc>
      </w:tr>
    </w:tbl>
    <w:p/>
    <w:p>
      <w:r>
        <w:rPr>
          <w:b/>
          <w:sz w:val="22"/>
        </w:rPr>
        <w:t>18. L’objectif d’un compte rendu de visite au vendeur est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De raconter la visite en détail littéraire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De remonter signaux marché, objections, et actions recommandées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De demander plus de photos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De promettre une offre</w:t>
            </w:r>
          </w:p>
        </w:tc>
      </w:tr>
    </w:tbl>
    <w:p/>
    <w:p>
      <w:r>
        <w:rPr>
          <w:b/>
          <w:sz w:val="22"/>
        </w:rPr>
        <w:t>19. Lorsqu’un client hésite, la meilleure action est de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relancer dix fois par jour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Identifier le vrai blocage et proposer une vérification ou un scénario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Baisser sans raison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Attendre un mois</w:t>
            </w:r>
          </w:p>
        </w:tc>
      </w:tr>
    </w:tbl>
    <w:p/>
    <w:p>
      <w:r>
        <w:rPr>
          <w:b/>
          <w:sz w:val="22"/>
        </w:rPr>
        <w:t>20. Un dossier commercial robuste se reconnaît au fait qu’il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A beaucoup de pages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Répond aux questions avant qu’elles ne soient posées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Contient des promesses de rendement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Évite la copropriété</w:t>
            </w:r>
          </w:p>
        </w:tc>
      </w:tr>
    </w:tbl>
    <w:p/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8F5E9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1B5E20"/>
                <w:sz w:val="24"/>
              </w:rPr>
              <w:t>Partie B - Mini-cas (réponses rédigées)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FFF8E1"/>
            <w:tcBorders>
              <w:top w:sz="12" w:val="single" w:color="C7A74A"/>
              <w:left w:sz="12" w:val="single" w:color="C7A74A"/>
              <w:bottom w:sz="12" w:val="single" w:color="C7A74A"/>
              <w:right w:sz="12" w:val="single" w:color="C7A74A"/>
            </w:tcBorders>
          </w:tcPr>
          <w:p>
            <w:r>
              <w:rPr>
                <w:b/>
                <w:color w:val="1B5E20"/>
                <w:sz w:val="22"/>
              </w:rPr>
              <w:t>Mini-cas 1 - Mise en vente : estimation et objections</w:t>
              <w:br/>
            </w:r>
          </w:p>
          <w:p>
            <w:pPr>
              <w:pStyle w:val="ListBullet"/>
            </w:pPr>
            <w:r>
              <w:rPr>
                <w:sz w:val="21"/>
              </w:rPr>
              <w:t>Contexte : un vendeur souhaite vendre rapidement mais fixe un prix élevé.</w:t>
            </w:r>
          </w:p>
          <w:p>
            <w:pPr>
              <w:pStyle w:val="ListBullet"/>
            </w:pPr>
            <w:r>
              <w:rPr>
                <w:sz w:val="21"/>
              </w:rPr>
              <w:t>Vous disposez de comparables récents qui suggèrent un prix inférieur.</w:t>
            </w:r>
          </w:p>
          <w:p>
            <w:pPr>
              <w:pStyle w:val="ListBullet"/>
            </w:pPr>
            <w:r>
              <w:rPr>
                <w:sz w:val="21"/>
              </w:rPr>
              <w:t>Tâche : proposer votre démarche en 6 étapes (de l’estimation au plan d’action).</w:t>
            </w:r>
          </w:p>
        </w:tc>
      </w:tr>
    </w:tbl>
    <w:p/>
    <w:p>
      <w:r>
        <w:rPr>
          <w:b/>
          <w:sz w:val="22"/>
        </w:rPr>
        <w:t>Réponse (démarche + arguments) :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FFFFFF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  <w:tr>
        <w:tc>
          <w:tcPr>
            <w:tcW w:type="dxa" w:w="10426"/>
            <w:shd w:val="clear" w:color="auto" w:fill="F7FAF7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  <w:tr>
        <w:tc>
          <w:tcPr>
            <w:tcW w:type="dxa" w:w="10426"/>
            <w:shd w:val="clear" w:color="auto" w:fill="FFFFFF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  <w:tr>
        <w:tc>
          <w:tcPr>
            <w:tcW w:type="dxa" w:w="10426"/>
            <w:shd w:val="clear" w:color="auto" w:fill="F7FAF7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  <w:tr>
        <w:tc>
          <w:tcPr>
            <w:tcW w:type="dxa" w:w="10426"/>
            <w:shd w:val="clear" w:color="auto" w:fill="FFFFFF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  <w:tr>
        <w:tc>
          <w:tcPr>
            <w:tcW w:type="dxa" w:w="10426"/>
            <w:shd w:val="clear" w:color="auto" w:fill="F7FAF7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  <w:tr>
        <w:tc>
          <w:tcPr>
            <w:tcW w:type="dxa" w:w="10426"/>
            <w:shd w:val="clear" w:color="auto" w:fill="FFFFFF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FFF8E1"/>
            <w:tcBorders>
              <w:top w:sz="12" w:val="single" w:color="C7A74A"/>
              <w:left w:sz="12" w:val="single" w:color="C7A74A"/>
              <w:bottom w:sz="12" w:val="single" w:color="C7A74A"/>
              <w:right w:sz="12" w:val="single" w:color="C7A74A"/>
            </w:tcBorders>
          </w:tcPr>
          <w:p>
            <w:r>
              <w:rPr>
                <w:b/>
                <w:color w:val="1B5E20"/>
                <w:sz w:val="22"/>
              </w:rPr>
              <w:t>Mini-cas 2 - Copropriété : charges et travaux</w:t>
              <w:br/>
            </w:r>
          </w:p>
          <w:p>
            <w:pPr>
              <w:pStyle w:val="ListBullet"/>
            </w:pPr>
            <w:r>
              <w:rPr>
                <w:sz w:val="21"/>
              </w:rPr>
              <w:t>Contexte : l’acquéreur découvre des charges élevées et des travaux annoncés.</w:t>
            </w:r>
          </w:p>
          <w:p>
            <w:pPr>
              <w:pStyle w:val="ListBullet"/>
            </w:pPr>
            <w:r>
              <w:rPr>
                <w:sz w:val="21"/>
              </w:rPr>
              <w:t>Tâche : lister les vérifications prioritaires et la manière de cadrer la négociation.</w:t>
            </w:r>
          </w:p>
          <w:p>
            <w:pPr>
              <w:pStyle w:val="ListBullet"/>
            </w:pPr>
            <w:r>
              <w:rPr>
                <w:sz w:val="21"/>
              </w:rPr>
              <w:t>Attendu : une réponse structurée (vérifier / expliquer / proposer).</w:t>
            </w:r>
          </w:p>
        </w:tc>
      </w:tr>
    </w:tbl>
    <w:p/>
    <w:p>
      <w:r>
        <w:rPr>
          <w:b/>
          <w:sz w:val="22"/>
        </w:rPr>
        <w:t>Réponse (vérifications + cadrage) :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FFFFFF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  <w:tr>
        <w:tc>
          <w:tcPr>
            <w:tcW w:type="dxa" w:w="10426"/>
            <w:shd w:val="clear" w:color="auto" w:fill="F7FAF7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  <w:tr>
        <w:tc>
          <w:tcPr>
            <w:tcW w:type="dxa" w:w="10426"/>
            <w:shd w:val="clear" w:color="auto" w:fill="FFFFFF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  <w:tr>
        <w:tc>
          <w:tcPr>
            <w:tcW w:type="dxa" w:w="10426"/>
            <w:shd w:val="clear" w:color="auto" w:fill="F7FAF7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  <w:tr>
        <w:tc>
          <w:tcPr>
            <w:tcW w:type="dxa" w:w="10426"/>
            <w:shd w:val="clear" w:color="auto" w:fill="FFFFFF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  <w:tr>
        <w:tc>
          <w:tcPr>
            <w:tcW w:type="dxa" w:w="10426"/>
            <w:shd w:val="clear" w:color="auto" w:fill="F7FAF7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  <w:tr>
        <w:tc>
          <w:tcPr>
            <w:tcW w:type="dxa" w:w="10426"/>
            <w:shd w:val="clear" w:color="auto" w:fill="FFFFFF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FFF8E1"/>
            <w:tcBorders>
              <w:top w:sz="12" w:val="single" w:color="C7A74A"/>
              <w:left w:sz="12" w:val="single" w:color="C7A74A"/>
              <w:bottom w:sz="12" w:val="single" w:color="C7A74A"/>
              <w:right w:sz="12" w:val="single" w:color="C7A74A"/>
            </w:tcBorders>
          </w:tcPr>
          <w:p>
            <w:r>
              <w:rPr>
                <w:b/>
                <w:color w:val="1B5E20"/>
                <w:sz w:val="22"/>
              </w:rPr>
              <w:t>Mini-cas 3 - Visite : objection sur un défaut</w:t>
              <w:br/>
            </w:r>
          </w:p>
          <w:p>
            <w:pPr>
              <w:pStyle w:val="ListBullet"/>
            </w:pPr>
            <w:r>
              <w:rPr>
                <w:sz w:val="21"/>
              </w:rPr>
              <w:t>Contexte : en visite, un défaut est relevé (bruit, humidité, travaux).</w:t>
            </w:r>
          </w:p>
          <w:p>
            <w:pPr>
              <w:pStyle w:val="ListBullet"/>
            </w:pPr>
            <w:r>
              <w:rPr>
                <w:sz w:val="21"/>
              </w:rPr>
              <w:t>Tâche : écrire votre phrase de cadrage, puis l’action suivante (preuve, devis, contre-visite).</w:t>
            </w:r>
          </w:p>
          <w:p>
            <w:pPr>
              <w:pStyle w:val="ListBullet"/>
            </w:pPr>
            <w:r>
              <w:rPr>
                <w:sz w:val="21"/>
              </w:rPr>
              <w:t>Attendu : transparence + maîtrise du risque + next step clair.</w:t>
            </w:r>
          </w:p>
        </w:tc>
      </w:tr>
    </w:tbl>
    <w:p/>
    <w:p>
      <w:r>
        <w:rPr>
          <w:b/>
          <w:sz w:val="22"/>
        </w:rPr>
        <w:t>Réponse (phrase + next step) :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FFFFFF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  <w:tr>
        <w:tc>
          <w:tcPr>
            <w:tcW w:type="dxa" w:w="10426"/>
            <w:shd w:val="clear" w:color="auto" w:fill="F7FAF7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  <w:tr>
        <w:tc>
          <w:tcPr>
            <w:tcW w:type="dxa" w:w="10426"/>
            <w:shd w:val="clear" w:color="auto" w:fill="FFFFFF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  <w:tr>
        <w:tc>
          <w:tcPr>
            <w:tcW w:type="dxa" w:w="10426"/>
            <w:shd w:val="clear" w:color="auto" w:fill="F7FAF7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  <w:tr>
        <w:tc>
          <w:tcPr>
            <w:tcW w:type="dxa" w:w="10426"/>
            <w:shd w:val="clear" w:color="auto" w:fill="FFFFFF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  <w:tr>
        <w:tc>
          <w:tcPr>
            <w:tcW w:type="dxa" w:w="10426"/>
            <w:shd w:val="clear" w:color="auto" w:fill="F7FAF7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8F5E9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1B5E20"/>
                <w:sz w:val="24"/>
              </w:rPr>
              <w:t>Notes complémentaires</w:t>
            </w:r>
          </w:p>
        </w:tc>
      </w:tr>
    </w:tbl>
    <w:p/>
    <w:p>
      <w:r>
        <w:rPr>
          <w:b/>
          <w:sz w:val="22"/>
        </w:rPr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FFFFFF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  <w:tr>
        <w:tc>
          <w:tcPr>
            <w:tcW w:type="dxa" w:w="10426"/>
            <w:shd w:val="clear" w:color="auto" w:fill="F7FAF7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  <w:tr>
        <w:tc>
          <w:tcPr>
            <w:tcW w:type="dxa" w:w="10426"/>
            <w:shd w:val="clear" w:color="auto" w:fill="FFFFFF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  <w:tr>
        <w:tc>
          <w:tcPr>
            <w:tcW w:type="dxa" w:w="10426"/>
            <w:shd w:val="clear" w:color="auto" w:fill="F7FAF7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  <w:tr>
        <w:tc>
          <w:tcPr>
            <w:tcW w:type="dxa" w:w="10426"/>
            <w:shd w:val="clear" w:color="auto" w:fill="FFFFFF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  <w:tr>
        <w:tc>
          <w:tcPr>
            <w:tcW w:type="dxa" w:w="10426"/>
            <w:shd w:val="clear" w:color="auto" w:fill="F7FAF7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r/>
          </w:p>
        </w:tc>
      </w:tr>
    </w:tbl>
    <w:p/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8F5E9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1B5E20"/>
                <w:sz w:val="24"/>
              </w:rPr>
              <w:t>Corrigé (réservé formateur) - QCM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8F5E9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1B5E20"/>
                <w:sz w:val="24"/>
              </w:rPr>
              <w:t>Corrigé (grille de réponses)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85"/>
        <w:gridCol w:w="2085"/>
        <w:gridCol w:w="2085"/>
        <w:gridCol w:w="2085"/>
        <w:gridCol w:w="2085"/>
      </w:tblGrid>
      <w:tr>
        <w:tc>
          <w:tcPr>
            <w:tcW w:type="dxa" w:w="2085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1: B</w:t>
            </w:r>
          </w:p>
        </w:tc>
        <w:tc>
          <w:tcPr>
            <w:tcW w:type="dxa" w:w="2085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2: B</w:t>
            </w:r>
          </w:p>
        </w:tc>
        <w:tc>
          <w:tcPr>
            <w:tcW w:type="dxa" w:w="2085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3: B</w:t>
            </w:r>
          </w:p>
        </w:tc>
        <w:tc>
          <w:tcPr>
            <w:tcW w:type="dxa" w:w="2085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4: C</w:t>
            </w:r>
          </w:p>
        </w:tc>
        <w:tc>
          <w:tcPr>
            <w:tcW w:type="dxa" w:w="2085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5: B</w:t>
            </w:r>
          </w:p>
        </w:tc>
      </w:tr>
      <w:tr>
        <w:tc>
          <w:tcPr>
            <w:tcW w:type="dxa" w:w="2085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6: B</w:t>
            </w:r>
          </w:p>
        </w:tc>
        <w:tc>
          <w:tcPr>
            <w:tcW w:type="dxa" w:w="2085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7: B</w:t>
            </w:r>
          </w:p>
        </w:tc>
        <w:tc>
          <w:tcPr>
            <w:tcW w:type="dxa" w:w="2085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8: B</w:t>
            </w:r>
          </w:p>
        </w:tc>
        <w:tc>
          <w:tcPr>
            <w:tcW w:type="dxa" w:w="2085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9: B</w:t>
            </w:r>
          </w:p>
        </w:tc>
        <w:tc>
          <w:tcPr>
            <w:tcW w:type="dxa" w:w="2085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10: C</w:t>
            </w:r>
          </w:p>
        </w:tc>
      </w:tr>
      <w:tr>
        <w:tc>
          <w:tcPr>
            <w:tcW w:type="dxa" w:w="2085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11: B</w:t>
            </w:r>
          </w:p>
        </w:tc>
        <w:tc>
          <w:tcPr>
            <w:tcW w:type="dxa" w:w="2085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12: B</w:t>
            </w:r>
          </w:p>
        </w:tc>
        <w:tc>
          <w:tcPr>
            <w:tcW w:type="dxa" w:w="2085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13: B</w:t>
            </w:r>
          </w:p>
        </w:tc>
        <w:tc>
          <w:tcPr>
            <w:tcW w:type="dxa" w:w="2085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14: B</w:t>
            </w:r>
          </w:p>
        </w:tc>
        <w:tc>
          <w:tcPr>
            <w:tcW w:type="dxa" w:w="2085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15: B</w:t>
            </w:r>
          </w:p>
        </w:tc>
      </w:tr>
      <w:tr>
        <w:tc>
          <w:tcPr>
            <w:tcW w:type="dxa" w:w="2085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16: B</w:t>
            </w:r>
          </w:p>
        </w:tc>
        <w:tc>
          <w:tcPr>
            <w:tcW w:type="dxa" w:w="2085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17: B</w:t>
            </w:r>
          </w:p>
        </w:tc>
        <w:tc>
          <w:tcPr>
            <w:tcW w:type="dxa" w:w="2085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18: B</w:t>
            </w:r>
          </w:p>
        </w:tc>
        <w:tc>
          <w:tcPr>
            <w:tcW w:type="dxa" w:w="2085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19: B</w:t>
            </w:r>
          </w:p>
        </w:tc>
        <w:tc>
          <w:tcPr>
            <w:tcW w:type="dxa" w:w="2085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20: B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8F5E9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1B5E20"/>
                <w:sz w:val="24"/>
              </w:rPr>
              <w:t>Corrigé (réservé formateur) - Mini-cas : éléments attendus</w:t>
            </w:r>
          </w:p>
        </w:tc>
      </w:tr>
    </w:tbl>
    <w:p/>
    <w:p>
      <w:pPr>
        <w:pStyle w:val="ListBullet"/>
      </w:pPr>
      <w:r>
        <w:rPr>
          <w:sz w:val="22"/>
        </w:rPr>
        <w:t>Mini-cas 1 : méthode d’estimation (comparables + ajustements), cadrage du prix, stratégie de commercialisation, calendrier, points de négociation, traçabilité.</w:t>
      </w:r>
    </w:p>
    <w:p>
      <w:pPr>
        <w:pStyle w:val="ListBullet"/>
      </w:pPr>
      <w:r>
        <w:rPr>
          <w:sz w:val="22"/>
        </w:rPr>
        <w:t>Mini-cas 2 : collecte des informations clés, lecture des charges/travaux, clarification pour l’acquéreur, scénarios et impact sur la valeur, cadrage de la négociation.</w:t>
      </w:r>
    </w:p>
    <w:p>
      <w:pPr>
        <w:pStyle w:val="ListBullet"/>
      </w:pPr>
      <w:r>
        <w:rPr>
          <w:sz w:val="22"/>
        </w:rPr>
        <w:t>Mini-cas 3 : reconnaître le défaut, proposer une vérification (preuve), poser un next step (devis / mesure / contre-visite), conserver une posture factuelle.</w:t>
      </w:r>
    </w:p>
    <w:sectPr w:rsidR="00FC693F" w:rsidRPr="0006063C" w:rsidSect="00034616">
      <w:footerReference w:type="default" r:id="rId9"/>
      <w:pgSz w:w="12240" w:h="15840"/>
      <w:pgMar w:top="907" w:right="907" w:bottom="907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8"/>
      </w:rPr>
      <w:t xml:space="preserve">lecoursgratuit.com  |  </w:t>
    </w:r>
    <w:r>
      <w:rPr>
        <w:color w:val="5A5A5A"/>
        <w:sz w:val="18"/>
      </w:rPr>
      <w:t xml:space="preserve">Page </w:t>
    </w:r>
    <w:fldSimple w:instr="PAGE">
      <w:r>
        <w:rPr>
          <w:sz w:val="18"/>
          <w:color w:val="5A5A5A"/>
        </w:rPr>
        <w:t>1</w:t>
      </w:r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