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1F6E6A"/>
            <w:tcMar>
              <w:top w:w="160" w:type="dxa"/>
              <w:start w:w="220" w:type="dxa"/>
              <w:bottom w:w="160" w:type="dxa"/>
              <w:end w:w="2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0"/>
              </w:rPr>
              <w:t>BTS Professions Immobilières (PI) – Épreuve blanche</w:t>
            </w:r>
          </w:p>
          <w:p>
            <w:pPr>
              <w:jc w:val="left"/>
            </w:pPr>
            <w:r>
              <w:rPr>
                <w:color w:val="EBF5F5"/>
                <w:sz w:val="22"/>
              </w:rPr>
              <w:t>Gestion locative – Conduite du projet immobilier du client (vente / location)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3288"/>
            <w:shd w:val="clear" w:color="auto" w:fill="E9F3F2"/>
            <w:vAlign w:val="center"/>
          </w:tcPr>
          <w:p>
            <w:r>
              <w:rPr>
                <w:b/>
                <w:sz w:val="20"/>
              </w:rPr>
              <w:t>Nom et prénom</w:t>
            </w:r>
          </w:p>
        </w:tc>
        <w:tc>
          <w:tcPr>
            <w:tcW w:type="dxa" w:w="2041"/>
            <w:shd w:val="clear" w:color="auto" w:fill="E9F3F2"/>
            <w:vAlign w:val="center"/>
          </w:tcPr>
          <w:p>
            <w:r>
              <w:rPr>
                <w:b/>
                <w:sz w:val="20"/>
              </w:rPr>
              <w:t>Classe</w:t>
            </w:r>
          </w:p>
        </w:tc>
        <w:tc>
          <w:tcPr>
            <w:tcW w:type="dxa" w:w="2381"/>
            <w:shd w:val="clear" w:color="auto" w:fill="E9F3F2"/>
            <w:vAlign w:val="center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1361"/>
            <w:shd w:val="clear" w:color="auto" w:fill="E9F3F2"/>
            <w:vAlign w:val="center"/>
          </w:tcPr>
          <w:p>
            <w:r>
              <w:rPr>
                <w:b/>
                <w:sz w:val="20"/>
              </w:rPr>
              <w:t>Durée</w:t>
            </w:r>
          </w:p>
        </w:tc>
      </w:tr>
      <w:tr>
        <w:tc>
          <w:tcPr>
            <w:tcW w:type="dxa" w:w="3288"/>
            <w:vAlign w:val="center"/>
          </w:tcPr>
          <w:p>
            <w:r>
              <w:rPr>
                <w:sz w:val="20"/>
              </w:rPr>
              <w:t>__________________________</w:t>
            </w:r>
          </w:p>
        </w:tc>
        <w:tc>
          <w:tcPr>
            <w:tcW w:type="dxa" w:w="2041"/>
            <w:vAlign w:val="center"/>
          </w:tcPr>
          <w:p>
            <w:r>
              <w:rPr>
                <w:sz w:val="20"/>
              </w:rPr>
              <w:t>__________________</w:t>
            </w:r>
          </w:p>
        </w:tc>
        <w:tc>
          <w:tcPr>
            <w:tcW w:type="dxa" w:w="2381"/>
            <w:vAlign w:val="center"/>
          </w:tcPr>
          <w:p>
            <w:r>
              <w:rPr>
                <w:sz w:val="20"/>
              </w:rPr>
              <w:t>____ / ____ / ________</w:t>
            </w:r>
          </w:p>
        </w:tc>
        <w:tc>
          <w:tcPr>
            <w:tcW w:type="dxa" w:w="1361"/>
            <w:vAlign w:val="center"/>
          </w:tcPr>
          <w:p>
            <w:r>
              <w:rPr>
                <w:sz w:val="20"/>
              </w:rPr>
              <w:t>45 min</w:t>
            </w:r>
          </w:p>
        </w:tc>
      </w:tr>
    </w:tbl>
    <w:p/>
    <w:p>
      <w:pPr>
        <w:pStyle w:val="Heading2"/>
      </w:pPr>
      <w:r>
        <w:t>Consignes</w:t>
      </w:r>
    </w:p>
    <w:p>
      <w:r>
        <w:rPr>
          <w:b/>
        </w:rPr>
        <w:t xml:space="preserve">Total : 20 points. </w:t>
      </w:r>
      <w:r>
        <w:t>QCM : cochez une seule réponse. Cas pratiques : répondez de façon structurée (ordre d’action, documents, preuves, messages).</w:t>
      </w:r>
    </w:p>
    <w:p>
      <w:r>
        <w:t>Documents autorisés : aucun (sauf consigne de votre formateur). Matériel : calculatrice simple autorisée.</w:t>
      </w:r>
    </w:p>
    <w:p/>
    <w:p>
      <w:pPr>
        <w:pStyle w:val="Heading2"/>
      </w:pPr>
      <w:r>
        <w:t>Partie 1 – QCM (16 questions × 0,5 pt = 8 points)</w:t>
      </w:r>
    </w:p>
    <w:p>
      <w:pPr>
        <w:spacing w:after="0"/>
      </w:pPr>
      <w:r>
        <w:t>1. Avant de publier une annonce, l’action prioritaire est :</w:t>
      </w:r>
    </w:p>
    <w:p>
      <w:pPr>
        <w:spacing w:after="0"/>
      </w:pPr>
      <w:r>
        <w:t xml:space="preserve">   A. Qualifier le besoin client et le bien (prix, cible, contraintes, calendrier).</w:t>
      </w:r>
    </w:p>
    <w:p>
      <w:pPr>
        <w:spacing w:after="0"/>
      </w:pPr>
      <w:r>
        <w:t xml:space="preserve">   B. Fixer une date de signature du bail.</w:t>
      </w:r>
    </w:p>
    <w:p>
      <w:pPr>
        <w:spacing w:after="0"/>
      </w:pPr>
      <w:r>
        <w:t xml:space="preserve">   C. Demander le dépôt de garantie.</w:t>
      </w:r>
    </w:p>
    <w:p>
      <w:pPr>
        <w:spacing w:after="0"/>
      </w:pPr>
      <w:r>
        <w:t xml:space="preserve">   D. Faire l’état des lieux de sortie.</w:t>
      </w:r>
    </w:p>
    <w:p>
      <w:pPr>
        <w:spacing w:after="0"/>
      </w:pPr>
      <w:r>
        <w:t>2. La sélection d’un candidat locataire doit surtout reposer sur :</w:t>
      </w:r>
    </w:p>
    <w:p>
      <w:pPr>
        <w:spacing w:after="0"/>
      </w:pPr>
      <w:r>
        <w:t xml:space="preserve">   A. La solvabilité et la cohérence du dossier (ressources, stabilité, garanties).</w:t>
      </w:r>
    </w:p>
    <w:p>
      <w:pPr>
        <w:spacing w:after="0"/>
      </w:pPr>
      <w:r>
        <w:t xml:space="preserve">   B. Le fait d’être le premier à appeler.</w:t>
      </w:r>
    </w:p>
    <w:p>
      <w:pPr>
        <w:spacing w:after="0"/>
      </w:pPr>
      <w:r>
        <w:t xml:space="preserve">   C. Le nombre de pièces fournies.</w:t>
      </w:r>
    </w:p>
    <w:p>
      <w:pPr>
        <w:spacing w:after="0"/>
      </w:pPr>
      <w:r>
        <w:t xml:space="preserve">   D. Le style de la lettre de motivation.</w:t>
      </w:r>
    </w:p>
    <w:p>
      <w:pPr>
        <w:spacing w:after="0"/>
      </w:pPr>
      <w:r>
        <w:t>3. En cas de litige sur des dégradations, la preuve la plus solide est :</w:t>
      </w:r>
    </w:p>
    <w:p>
      <w:pPr>
        <w:spacing w:after="0"/>
      </w:pPr>
      <w:r>
        <w:t xml:space="preserve">   A. Un échange oral.</w:t>
      </w:r>
    </w:p>
    <w:p>
      <w:pPr>
        <w:spacing w:after="0"/>
      </w:pPr>
      <w:r>
        <w:t xml:space="preserve">   B. État des lieux entrée/sortie précis + photos + justificatifs (devis/factures).</w:t>
      </w:r>
    </w:p>
    <w:p>
      <w:pPr>
        <w:spacing w:after="0"/>
      </w:pPr>
      <w:r>
        <w:t xml:space="preserve">   C. Un avis d’un voisin.</w:t>
      </w:r>
    </w:p>
    <w:p>
      <w:pPr>
        <w:spacing w:after="0"/>
      </w:pPr>
      <w:r>
        <w:t xml:space="preserve">   D. Une photo non datée.</w:t>
      </w:r>
    </w:p>
    <w:p>
      <w:pPr>
        <w:spacing w:after="0"/>
      </w:pPr>
      <w:r>
        <w:t>4. En location vide, le préavis locataire (cas général) est :</w:t>
      </w:r>
    </w:p>
    <w:p>
      <w:pPr>
        <w:spacing w:after="0"/>
      </w:pPr>
      <w:r>
        <w:t xml:space="preserve">   A. 1 mois.</w:t>
      </w:r>
    </w:p>
    <w:p>
      <w:pPr>
        <w:spacing w:after="0"/>
      </w:pPr>
      <w:r>
        <w:t xml:space="preserve">   B. 2 mois.</w:t>
      </w:r>
    </w:p>
    <w:p>
      <w:pPr>
        <w:spacing w:after="0"/>
      </w:pPr>
      <w:r>
        <w:t xml:space="preserve">   C. 3 mois.</w:t>
      </w:r>
    </w:p>
    <w:p>
      <w:pPr>
        <w:spacing w:after="0"/>
      </w:pPr>
      <w:r>
        <w:t xml:space="preserve">   D. 6 mois.</w:t>
      </w:r>
    </w:p>
    <w:p>
      <w:pPr>
        <w:spacing w:after="0"/>
      </w:pPr>
      <w:r>
        <w:t>5. En zone tendue (si le locataire invoque correctement le motif), le préavis locataire en location vide peut être :</w:t>
      </w:r>
    </w:p>
    <w:p>
      <w:pPr>
        <w:spacing w:after="0"/>
      </w:pPr>
      <w:r>
        <w:t xml:space="preserve">   A. 3 mois.</w:t>
      </w:r>
    </w:p>
    <w:p>
      <w:pPr>
        <w:spacing w:after="0"/>
      </w:pPr>
      <w:r>
        <w:t xml:space="preserve">   B. 2 mois.</w:t>
      </w:r>
    </w:p>
    <w:p>
      <w:pPr>
        <w:spacing w:after="0"/>
      </w:pPr>
      <w:r>
        <w:t xml:space="preserve">   C. 1 mois.</w:t>
      </w:r>
    </w:p>
    <w:p>
      <w:pPr>
        <w:spacing w:after="0"/>
      </w:pPr>
      <w:r>
        <w:t xml:space="preserve">   D. 15 jours.</w:t>
      </w:r>
    </w:p>
    <w:p>
      <w:pPr>
        <w:spacing w:after="0"/>
      </w:pPr>
      <w:r>
        <w:t>6. En location vide, le dépôt de garantie est plafonné à :</w:t>
      </w:r>
    </w:p>
    <w:p>
      <w:pPr>
        <w:spacing w:after="0"/>
      </w:pPr>
      <w:r>
        <w:t xml:space="preserve">   A. 2 mois de loyer charges comprises.</w:t>
      </w:r>
    </w:p>
    <w:p>
      <w:pPr>
        <w:spacing w:after="0"/>
      </w:pPr>
      <w:r>
        <w:t xml:space="preserve">   B. 1 mois de loyer hors charges.</w:t>
      </w:r>
    </w:p>
    <w:p>
      <w:pPr>
        <w:spacing w:after="0"/>
      </w:pPr>
      <w:r>
        <w:t xml:space="preserve">   C. 3 mois de loyer hors charges.</w:t>
      </w:r>
    </w:p>
    <w:p>
      <w:pPr>
        <w:spacing w:after="0"/>
      </w:pPr>
      <w:r>
        <w:t xml:space="preserve">   D. Montant libre.</w:t>
      </w:r>
    </w:p>
    <w:p>
      <w:pPr>
        <w:spacing w:after="0"/>
      </w:pPr>
      <w:r>
        <w:t>7. Délai maximal de restitution du dépôt de garantie si l’état des lieux de sortie est conforme :</w:t>
      </w:r>
    </w:p>
    <w:p>
      <w:pPr>
        <w:spacing w:after="0"/>
      </w:pPr>
      <w:r>
        <w:t xml:space="preserve">   A. 15 jours.</w:t>
      </w:r>
    </w:p>
    <w:p>
      <w:pPr>
        <w:spacing w:after="0"/>
      </w:pPr>
      <w:r>
        <w:t xml:space="preserve">   B. 1 mois.</w:t>
      </w:r>
    </w:p>
    <w:p>
      <w:pPr>
        <w:spacing w:after="0"/>
      </w:pPr>
      <w:r>
        <w:t xml:space="preserve">   C. 2 mois.</w:t>
      </w:r>
    </w:p>
    <w:p>
      <w:pPr>
        <w:spacing w:after="0"/>
      </w:pPr>
      <w:r>
        <w:t xml:space="preserve">   D. 3 mois.</w:t>
      </w:r>
    </w:p>
    <w:p>
      <w:pPr>
        <w:spacing w:after="0"/>
      </w:pPr>
      <w:r>
        <w:t>8. Délai maximal de restitution du dépôt de garantie si l’état des lieux de sortie n’est pas conforme :</w:t>
      </w:r>
    </w:p>
    <w:p>
      <w:pPr>
        <w:spacing w:after="0"/>
      </w:pPr>
      <w:r>
        <w:t xml:space="preserve">   A. 1 mois.</w:t>
      </w:r>
    </w:p>
    <w:p>
      <w:pPr>
        <w:spacing w:after="0"/>
      </w:pPr>
      <w:r>
        <w:t xml:space="preserve">   B. 2 mois.</w:t>
      </w:r>
    </w:p>
    <w:p>
      <w:pPr>
        <w:spacing w:after="0"/>
      </w:pPr>
      <w:r>
        <w:t xml:space="preserve">   C. 3 mois.</w:t>
      </w:r>
    </w:p>
    <w:p>
      <w:pPr>
        <w:spacing w:after="0"/>
      </w:pPr>
      <w:r>
        <w:t xml:space="preserve">   D. 6 mois.</w:t>
      </w:r>
    </w:p>
    <w:p>
      <w:pPr>
        <w:spacing w:after="0"/>
      </w:pPr>
      <w:r>
        <w:t>9. Le bail mobilité se caractérise par :</w:t>
      </w:r>
    </w:p>
    <w:p>
      <w:pPr>
        <w:spacing w:after="0"/>
      </w:pPr>
      <w:r>
        <w:t xml:space="preserve">   A. Une durée de 1 à 10 mois.</w:t>
      </w:r>
    </w:p>
    <w:p>
      <w:pPr>
        <w:spacing w:after="0"/>
      </w:pPr>
      <w:r>
        <w:t xml:space="preserve">   B. Une durée minimale de 12 mois.</w:t>
      </w:r>
    </w:p>
    <w:p>
      <w:pPr>
        <w:spacing w:after="0"/>
      </w:pPr>
      <w:r>
        <w:t xml:space="preserve">   C. Un bail vide de 3 ans.</w:t>
      </w:r>
    </w:p>
    <w:p>
      <w:pPr>
        <w:spacing w:after="0"/>
      </w:pPr>
      <w:r>
        <w:t xml:space="preserve">   D. Une reconduction automatique.</w:t>
      </w:r>
    </w:p>
    <w:p>
      <w:pPr>
        <w:spacing w:after="0"/>
      </w:pPr>
      <w:r>
        <w:t>10. En bail mobilité, le dépôt de garantie est :</w:t>
      </w:r>
    </w:p>
    <w:p>
      <w:pPr>
        <w:spacing w:after="0"/>
      </w:pPr>
      <w:r>
        <w:t xml:space="preserve">   A. Obligatoire.</w:t>
      </w:r>
    </w:p>
    <w:p>
      <w:pPr>
        <w:spacing w:after="0"/>
      </w:pPr>
      <w:r>
        <w:t xml:space="preserve">   B. Interdit.</w:t>
      </w:r>
    </w:p>
    <w:p>
      <w:pPr>
        <w:spacing w:after="0"/>
      </w:pPr>
      <w:r>
        <w:t xml:space="preserve">   C. Recommandé.</w:t>
      </w:r>
    </w:p>
    <w:p>
      <w:pPr>
        <w:spacing w:after="0"/>
      </w:pPr>
      <w:r>
        <w:t xml:space="preserve">   D. Libre.</w:t>
      </w:r>
    </w:p>
    <w:p>
      <w:pPr>
        <w:spacing w:after="0"/>
      </w:pPr>
      <w:r>
        <w:t>11. À J+5 après l’échéance, face à un impayé isolé, la première relance professionnelle est :</w:t>
      </w:r>
    </w:p>
    <w:p>
      <w:pPr>
        <w:spacing w:after="0"/>
      </w:pPr>
      <w:r>
        <w:t xml:space="preserve">   A. Une menace immédiate.</w:t>
      </w:r>
    </w:p>
    <w:p>
      <w:pPr>
        <w:spacing w:after="0"/>
      </w:pPr>
      <w:r>
        <w:t xml:space="preserve">   B. Un message factuel (vérification + demande de date de régularisation).</w:t>
      </w:r>
    </w:p>
    <w:p>
      <w:pPr>
        <w:spacing w:after="0"/>
      </w:pPr>
      <w:r>
        <w:t xml:space="preserve">   C. Silence total pendant 2 mois.</w:t>
      </w:r>
    </w:p>
    <w:p>
      <w:pPr>
        <w:spacing w:after="0"/>
      </w:pPr>
      <w:r>
        <w:t xml:space="preserve">   D. Un message public.</w:t>
      </w:r>
    </w:p>
    <w:p>
      <w:pPr>
        <w:spacing w:after="0"/>
      </w:pPr>
      <w:r>
        <w:t>12. Une retenue sur dépôt de garantie doit être :</w:t>
      </w:r>
    </w:p>
    <w:p>
      <w:pPr>
        <w:spacing w:after="0"/>
      </w:pPr>
      <w:r>
        <w:t xml:space="preserve">   A. Forfaitaire.</w:t>
      </w:r>
    </w:p>
    <w:p>
      <w:pPr>
        <w:spacing w:after="0"/>
      </w:pPr>
      <w:r>
        <w:t xml:space="preserve">   B. Justifiée (EDL, devis/factures, éléments de calcul).</w:t>
      </w:r>
    </w:p>
    <w:p>
      <w:pPr>
        <w:spacing w:after="0"/>
      </w:pPr>
      <w:r>
        <w:t xml:space="preserve">   C. Décidée “au feeling”.</w:t>
      </w:r>
    </w:p>
    <w:p>
      <w:pPr>
        <w:spacing w:after="0"/>
      </w:pPr>
      <w:r>
        <w:t xml:space="preserve">   D. Toujours égale à 50%.</w:t>
      </w:r>
    </w:p>
    <w:p>
      <w:pPr>
        <w:spacing w:after="0"/>
      </w:pPr>
      <w:r>
        <w:t>13. À l’entrée dans les lieux, le pack minimum à sécuriser comprend :</w:t>
      </w:r>
    </w:p>
    <w:p>
      <w:pPr>
        <w:spacing w:after="0"/>
      </w:pPr>
      <w:r>
        <w:t xml:space="preserve">   A. Clés uniquement.</w:t>
      </w:r>
    </w:p>
    <w:p>
      <w:pPr>
        <w:spacing w:after="0"/>
      </w:pPr>
      <w:r>
        <w:t xml:space="preserve">   B. Bail signé + annexes + EDL + relevés compteurs + assurance + paiement + coordonnées.</w:t>
      </w:r>
    </w:p>
    <w:p>
      <w:pPr>
        <w:spacing w:after="0"/>
      </w:pPr>
      <w:r>
        <w:t xml:space="preserve">   C. Annonce imprimée.</w:t>
      </w:r>
    </w:p>
    <w:p>
      <w:pPr>
        <w:spacing w:after="0"/>
      </w:pPr>
      <w:r>
        <w:t xml:space="preserve">   D. Uniquement un email.</w:t>
      </w:r>
    </w:p>
    <w:p>
      <w:pPr>
        <w:spacing w:after="0"/>
      </w:pPr>
      <w:r>
        <w:t>14. Une clause ambiguë dans le bail entraîne principalement :</w:t>
      </w:r>
    </w:p>
    <w:p>
      <w:pPr>
        <w:spacing w:after="0"/>
      </w:pPr>
      <w:r>
        <w:t xml:space="preserve">   A. Un gain de temps.</w:t>
      </w:r>
    </w:p>
    <w:p>
      <w:pPr>
        <w:spacing w:after="0"/>
      </w:pPr>
      <w:r>
        <w:t xml:space="preserve">   B. Un risque d’interprétation et de litige.</w:t>
      </w:r>
    </w:p>
    <w:p>
      <w:pPr>
        <w:spacing w:after="0"/>
      </w:pPr>
      <w:r>
        <w:t xml:space="preserve">   C. Une baisse automatique du loyer.</w:t>
      </w:r>
    </w:p>
    <w:p>
      <w:pPr>
        <w:spacing w:after="0"/>
      </w:pPr>
      <w:r>
        <w:t xml:space="preserve">   D. Une annulation du bail.</w:t>
      </w:r>
    </w:p>
    <w:p>
      <w:pPr>
        <w:spacing w:after="0"/>
      </w:pPr>
      <w:r>
        <w:t>15. Le meilleur levier pour réduire les litiges sur 12 mois est :</w:t>
      </w:r>
    </w:p>
    <w:p>
      <w:pPr>
        <w:spacing w:after="0"/>
      </w:pPr>
      <w:r>
        <w:t xml:space="preserve">   A. Plus de publicité.</w:t>
      </w:r>
    </w:p>
    <w:p>
      <w:pPr>
        <w:spacing w:after="0"/>
      </w:pPr>
      <w:r>
        <w:t xml:space="preserve">   B. Un process écrit (check-lists, modèles, archivage des preuves).</w:t>
      </w:r>
    </w:p>
    <w:p>
      <w:pPr>
        <w:spacing w:after="0"/>
      </w:pPr>
      <w:r>
        <w:t xml:space="preserve">   C. Moins d’écrits.</w:t>
      </w:r>
    </w:p>
    <w:p>
      <w:pPr>
        <w:spacing w:after="0"/>
      </w:pPr>
      <w:r>
        <w:t xml:space="preserve">   D. Des réponses uniquement par téléphone.</w:t>
      </w:r>
    </w:p>
    <w:p>
      <w:pPr>
        <w:spacing w:after="0"/>
      </w:pPr>
      <w:r>
        <w:t>16. En cas de contestation d’une retenue, la réponse la plus professionnelle consiste à :</w:t>
      </w:r>
    </w:p>
    <w:p>
      <w:pPr>
        <w:spacing w:after="0"/>
      </w:pPr>
      <w:r>
        <w:t xml:space="preserve">   A. Refuser d’expliquer.</w:t>
      </w:r>
    </w:p>
    <w:p>
      <w:pPr>
        <w:spacing w:after="0"/>
      </w:pPr>
      <w:r>
        <w:t xml:space="preserve">   B. Fournir les justificatifs et expliquer la méthode de calcul.</w:t>
      </w:r>
    </w:p>
    <w:p>
      <w:pPr>
        <w:spacing w:after="0"/>
      </w:pPr>
      <w:r>
        <w:t xml:space="preserve">   C. Supprimer les échanges.</w:t>
      </w:r>
    </w:p>
    <w:p>
      <w:pPr>
        <w:spacing w:after="0"/>
      </w:pPr>
      <w:r>
        <w:t xml:space="preserve">   D. Rembourser sans vérifier.</w:t>
      </w:r>
    </w:p>
    <w:p/>
    <w:p>
      <w:pPr>
        <w:pStyle w:val="Heading3"/>
      </w:pPr>
      <w:r>
        <w:t>Grille de réponses (cochez une seule lettre)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43"/>
        <w:gridCol w:w="1043"/>
        <w:gridCol w:w="1043"/>
        <w:gridCol w:w="1043"/>
        <w:gridCol w:w="1043"/>
        <w:gridCol w:w="1043"/>
        <w:gridCol w:w="1043"/>
        <w:gridCol w:w="1043"/>
        <w:gridCol w:w="1043"/>
        <w:gridCol w:w="1043"/>
      </w:tblGrid>
      <w:tr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N°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A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B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C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D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N°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A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B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C</w:t>
            </w:r>
          </w:p>
        </w:tc>
        <w:tc>
          <w:tcPr>
            <w:tcW w:type="dxa" w:w="1043"/>
            <w:shd w:val="clear" w:color="auto" w:fill="E9F3F2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D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  <w:tr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  <w:tc>
          <w:tcPr>
            <w:tcW w:type="dxa" w:w="1043"/>
            <w:vAlign w:val="center"/>
          </w:tcPr>
          <w:p>
            <w:pPr>
              <w:jc w:val="center"/>
            </w:pPr>
            <w:r>
              <w:rPr>
                <w:sz w:val="18"/>
              </w:rPr>
              <w:t>□</w:t>
            </w:r>
          </w:p>
        </w:tc>
      </w:tr>
    </w:tbl>
    <w:p/>
    <w:p>
      <w:pPr>
        <w:pStyle w:val="Heading2"/>
      </w:pPr>
      <w:r>
        <w:t>Partie 2 – Cas pratiques (2 cas × 6 pts = 12 points)</w:t>
      </w:r>
    </w:p>
    <w:p>
      <w:pPr>
        <w:pStyle w:val="Heading3"/>
      </w:pPr>
      <w:r>
        <w:t>Cas 1 – Mise en location express (6 points)</w:t>
      </w:r>
    </w:p>
    <w:p>
      <w:r>
        <w:t>Un bailleur vous confie la mise en location d’un T2 meublé. Il souhaite louer en 7 jours et insiste pour prendre “le premier dossier venu”. Vous devez sécuriser le parcours (client, candidat, documents, preuves) tout en restant efficace.</w:t>
      </w:r>
    </w:p>
    <w:p>
      <w:r>
        <w:t>Travail demandé :</w:t>
      </w:r>
    </w:p>
    <w:p>
      <w:pPr>
        <w:spacing w:after="0"/>
      </w:pPr>
      <w:r>
        <w:t>• Proposez un plan d’action en 8 étapes (de la prise de mandat à la remise des clés).</w:t>
      </w:r>
    </w:p>
    <w:p>
      <w:pPr>
        <w:spacing w:after="0"/>
      </w:pPr>
      <w:r>
        <w:t>• Listez 6 documents/preuves indispensables à sécuriser (dossier, bail, annexes, états des lieux, etc.).</w:t>
      </w:r>
    </w:p>
    <w:p>
      <w:pPr>
        <w:spacing w:after="0"/>
      </w:pPr>
      <w:r>
        <w:t>• Rédigez un message professionnel (6 à 8 lignes) au bailleur pour cadrer la méthode sans le braquer.</w:t>
      </w:r>
    </w:p>
    <w:p>
      <w:r>
        <w:br/>
        <w:t>Réponse (espace de rédaction) :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/>
    <w:p>
      <w:pPr>
        <w:pStyle w:val="Heading3"/>
      </w:pPr>
      <w:r>
        <w:t>Cas 2 – Congé, zone tendue, dépôt de garantie (6 points)</w:t>
      </w:r>
    </w:p>
    <w:p>
      <w:r>
        <w:t>Location vide. Loyer : 800 EUR hors charges (50 EUR provisions). Dépôt de garantie : 800 EUR. Le congé du locataire est reçu le 12/01/2026 et mentionne la zone tendue. Le locataire souhaite quitter les lieux “fin février”. À la sortie, l’état des lieux constate une porte de placard endommagée. Le bailleur veut retenir 400 EUR sans devis.</w:t>
      </w:r>
    </w:p>
    <w:p>
      <w:r>
        <w:t>Travail demandé :</w:t>
      </w:r>
    </w:p>
    <w:p>
      <w:pPr>
        <w:spacing w:after="0"/>
      </w:pPr>
      <w:r>
        <w:t>• Indiquez la date théorique de fin de bail (préavis) et justifiez en une phrase.</w:t>
      </w:r>
    </w:p>
    <w:p>
      <w:pPr>
        <w:spacing w:after="0"/>
      </w:pPr>
      <w:r>
        <w:t>• Expliquez la méthode correcte pour une retenue sur dépôt (preuves attendues).</w:t>
      </w:r>
    </w:p>
    <w:p>
      <w:pPr>
        <w:spacing w:after="0"/>
      </w:pPr>
      <w:r>
        <w:t>• Rappelez le délai maximal de restitution du dépôt dans ce cas.</w:t>
      </w:r>
    </w:p>
    <w:p>
      <w:pPr>
        <w:spacing w:after="0"/>
      </w:pPr>
      <w:r>
        <w:t>• Rédigez un message professionnel au bailleur (8 à 10 lignes) : cadre légal, besoin de justificatifs, proposition de solution.</w:t>
      </w:r>
    </w:p>
    <w:p>
      <w:r>
        <w:br/>
        <w:t>Réponse (espace de rédaction) :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t>________________________________________________________________________________________</w:t>
      </w:r>
    </w:p>
    <w:p>
      <w:r>
        <w:br w:type="page"/>
      </w:r>
    </w:p>
    <w:p>
      <w:pPr>
        <w:pStyle w:val="Heading1"/>
      </w:pPr>
      <w:r>
        <w:t>Corrigé et barème (réservé formateur)</w:t>
      </w:r>
    </w:p>
    <w:p>
      <w:pPr>
        <w:pStyle w:val="Heading2"/>
      </w:pPr>
      <w:r>
        <w:t>Corrigé – Partie 1 (QCM)</w:t>
      </w:r>
    </w:p>
    <w:p>
      <w:r>
        <w:t>1:A | 2:A | 3:B | 4:C | 5:C | 6:B | 7:B | 8:B | 9:A | 10:B | 11:B | 12:B | 13:B | 14:B | 15:B | 16:B</w:t>
      </w:r>
    </w:p>
    <w:p>
      <w:pPr>
        <w:pStyle w:val="Heading3"/>
      </w:pPr>
      <w:r>
        <w:t>Barème QCM : 0,5 pt par réponse exacte. Une seule réponse acceptée.</w:t>
      </w:r>
    </w:p>
    <w:p>
      <w:pPr>
        <w:pStyle w:val="Heading2"/>
      </w:pPr>
      <w:r>
        <w:t>Éléments attendus – Cas 1 (6 pts)</w:t>
      </w:r>
    </w:p>
    <w:p>
      <w:r>
        <w:t>• Plan d’action (3 pts) : mandat / cadrage -&gt; estimation loyer &amp; conditions -&gt; annonce &amp; photos -&gt; visites -&gt; sélection &amp; vérifications -&gt; constitution dossier -&gt; rédaction bail &amp; annexes -&gt; encaissement + assurance -&gt; état des lieux entrée &amp; remise clés.</w:t>
      </w:r>
    </w:p>
    <w:p>
      <w:r>
        <w:t>• Documents/preuves (2 pts) : bail signé, EDL d’entrée daté signé, justificatif assurance, preuves paiement (1er loyer + dépôt si applicable), annexes obligatoires (selon cas), relevés compteurs, inventaire (meublé), échanges écrits.</w:t>
      </w:r>
    </w:p>
    <w:p>
      <w:r>
        <w:t>• Message bailleur (1 pt) : ton professionnel, méthode, bénéfice (réduction impayés/litiges), engagement délai.</w:t>
      </w:r>
    </w:p>
    <w:p>
      <w:pPr>
        <w:pStyle w:val="Heading2"/>
      </w:pPr>
      <w:r>
        <w:t>Éléments attendus – Cas 2 (6 pts)</w:t>
      </w:r>
    </w:p>
    <w:p>
      <w:r>
        <w:t>• Fin de bail (2 pts) : préavis réduit (zone tendue invoquée) -&gt; 1 mois à compter de la réception du congé. Reçu 12/01/2026 -&gt; fin théorique le 11/02/2026 (à minuit).</w:t>
      </w:r>
    </w:p>
    <w:p>
      <w:r>
        <w:t>• Retenue (2 pts) : uniquement justifiée ; s’appuyer sur EDL entrée/sortie + photos + devis/factures ou chiffrage objectif. Pas de forfait sans preuve.</w:t>
      </w:r>
    </w:p>
    <w:p>
      <w:r>
        <w:t>• Délai restitution (1 pt) : en non-conformité EDL, délai maximal 2 mois. (Rappeler aussi : 1 mois si conforme.)</w:t>
      </w:r>
    </w:p>
    <w:p>
      <w:r>
        <w:t>• Message bailleur (1 pt) : rappeler cadre, demander devis, proposer retenue au réel, sécuriser la réponse au locataire.</w:t>
      </w:r>
    </w:p>
    <w:p/>
    <w:p>
      <w:pPr>
        <w:pStyle w:val="Heading2"/>
      </w:pPr>
      <w:r>
        <w:t>Grille de notation suggérée (sur 20)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75"/>
        <w:gridCol w:w="3475"/>
        <w:gridCol w:w="3475"/>
      </w:tblGrid>
      <w:tr>
        <w:tc>
          <w:tcPr>
            <w:tcW w:type="dxa" w:w="3475"/>
            <w:shd w:val="clear" w:color="auto" w:fill="E9F3F2"/>
          </w:tcPr>
          <w:p>
            <w:pPr>
              <w:jc w:val="center"/>
            </w:pPr>
            <w:r>
              <w:rPr>
                <w:b/>
                <w:sz w:val="18"/>
              </w:rPr>
              <w:t>Critère</w:t>
            </w:r>
          </w:p>
        </w:tc>
        <w:tc>
          <w:tcPr>
            <w:tcW w:type="dxa" w:w="3475"/>
            <w:shd w:val="clear" w:color="auto" w:fill="E9F3F2"/>
          </w:tcPr>
          <w:p>
            <w:pPr>
              <w:jc w:val="center"/>
            </w:pPr>
            <w:r>
              <w:rPr>
                <w:b/>
                <w:sz w:val="18"/>
              </w:rPr>
              <w:t>Attendu</w:t>
            </w:r>
          </w:p>
        </w:tc>
        <w:tc>
          <w:tcPr>
            <w:tcW w:type="dxa" w:w="3475"/>
            <w:shd w:val="clear" w:color="auto" w:fill="E9F3F2"/>
          </w:tcPr>
          <w:p>
            <w:pPr>
              <w:jc w:val="center"/>
            </w:pPr>
            <w:r>
              <w:rPr>
                <w:b/>
                <w:sz w:val="18"/>
              </w:rPr>
              <w:t>Points</w:t>
            </w:r>
          </w:p>
        </w:tc>
      </w:tr>
      <w:tr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QCM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16 réponses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8</w:t>
            </w:r>
          </w:p>
        </w:tc>
      </w:tr>
      <w:tr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Cas 1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Plan + preuves + message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Cas 2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Date fin bail + dépôt + message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Total</w:t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</w:r>
          </w:p>
        </w:tc>
        <w:tc>
          <w:tcPr>
            <w:tcW w:type="dxa" w:w="3475"/>
          </w:tcPr>
          <w:p>
            <w:pPr>
              <w:jc w:val="center"/>
            </w:pPr>
            <w:r>
              <w:rPr>
                <w:sz w:val="18"/>
              </w:rPr>
              <w:t>20</w:t>
            </w:r>
          </w:p>
        </w:tc>
      </w:tr>
    </w:tbl>
    <w:p/>
    <w:p>
      <w:r>
        <w:rPr>
          <w:b/>
        </w:rPr>
        <w:t xml:space="preserve">Sources de repères (pour mise à jour) : </w:t>
      </w:r>
      <w:r>
        <w:t>service-public.fr – rubriques location (préavis, dépôt de garantie, bail mobilité).</w:t>
      </w:r>
    </w:p>
    <w:sectPr w:rsidR="00FC693F" w:rsidRPr="0006063C" w:rsidSect="00034616">
      <w:footerReference w:type="default" r:id="rId9"/>
      <w:pgSz w:w="12240" w:h="15840"/>
      <w:pgMar w:top="794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lecoursgratuit.com  |  Page </w:t>
    </w:r>
    <w:fldSimple w:instr="PAGE">
      <w:r>
        <w:rPr>
          <w:sz w:val="18"/>
          <w:color w:val="646464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6E6A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6E6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6E6A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