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9972"/>
      </w:tblGrid>
      <w:tr>
        <w:tc>
          <w:tcPr>
            <w:tcW w:type="dxa" w:w="9972"/>
            <w:shd w:val="clear" w:color="auto" w:fill="0F3D3E"/>
            <w:vAlign w:val="center"/>
            <w:tcBorders>
              <w:start w:sz="0" w:val="nil" w:color="FFFFFF"/>
              <w:top w:sz="0" w:val="nil" w:color="FFFFFF"/>
              <w:end w:sz="0" w:val="nil" w:color="FFFFFF"/>
              <w:bottom w:sz="0" w:val="nil" w:color="FFFFFF"/>
            </w:tcBorders>
          </w:tcPr>
          <w:p>
            <w:pPr>
              <w:jc w:val="left"/>
            </w:pPr>
            <w:r>
              <w:rPr>
                <w:rFonts w:ascii="Calibri" w:hAnsi="Calibri"/>
                <w:b/>
                <w:color w:val="FFFFFF"/>
                <w:sz w:val="52"/>
              </w:rPr>
              <w:t>Les Bonnes - Jean Genet</w:t>
            </w:r>
          </w:p>
          <w:p>
            <w:pPr>
              <w:pStyle w:val="LCGSubtitle"/>
              <w:jc w:val="left"/>
            </w:pPr>
            <w:r>
              <w:t>5 sujets type bac corrigés + plans détaillés</w:t>
            </w:r>
          </w:p>
          <w:p>
            <w:pPr>
              <w:jc w:val="left"/>
            </w:pPr>
            <w:r>
              <w:rPr>
                <w:rFonts w:ascii="Calibri" w:hAnsi="Calibri"/>
                <w:color w:val="DCEBEA"/>
                <w:sz w:val="20"/>
              </w:rPr>
              <w:t>Dissertation / commentaire composé</w:t>
            </w:r>
          </w:p>
          <w:p>
            <w:pPr>
              <w:jc w:val="left"/>
            </w:pPr>
            <w:r>
              <w:rPr>
                <w:rFonts w:ascii="Calibri" w:hAnsi="Calibri"/>
                <w:color w:val="DCEBEA"/>
                <w:sz w:val="20"/>
              </w:rPr>
              <w:t>Format page pilier - révision claire, didactique, prête à imprimer</w:t>
            </w:r>
          </w:p>
        </w:tc>
      </w:tr>
    </w:tbl>
    <w:p/>
    <w:tbl>
      <w:tblPr>
        <w:tblW w:type="auto" w:w="0"/>
        <w:jc w:val="center"/>
        <w:tblLook w:firstColumn="1" w:firstRow="1" w:lastColumn="0" w:lastRow="0" w:noHBand="0" w:noVBand="1" w:val="04A0"/>
      </w:tblPr>
      <w:tblGrid>
        <w:gridCol w:w="9972"/>
      </w:tblGrid>
      <w:tr>
        <w:tc>
          <w:tcPr>
            <w:tcW w:type="dxa" w:w="9972"/>
            <w:shd w:val="clear" w:color="auto" w:fill="E9F4F3"/>
            <w:tcBorders>
              <w:start w:sz="8" w:val="single" w:color="0F3D3E"/>
              <w:top w:sz="8" w:val="single" w:color="0F3D3E"/>
              <w:end w:sz="8" w:val="single" w:color="0F3D3E"/>
              <w:bottom w:sz="8" w:val="single" w:color="0F3D3E"/>
            </w:tcBorders>
          </w:tcPr>
          <w:p>
            <w:r>
              <w:rPr>
                <w:b/>
                <w:color w:val="0F3D3E"/>
                <w:sz w:val="24"/>
              </w:rPr>
              <w:t>Mode d’emploi (pour gagner des points)</w:t>
            </w:r>
          </w:p>
          <w:p>
            <w:pPr>
              <w:pStyle w:val="ListBullet"/>
            </w:pPr>
            <w:r>
              <w:rPr>
                <w:rFonts w:ascii="Calibri" w:hAnsi="Calibri"/>
                <w:sz w:val="22"/>
              </w:rPr>
              <w:t>Introduction : accroche + présentation de l’œuvre + problématique + annonce de plan.</w:t>
            </w:r>
          </w:p>
          <w:p>
            <w:pPr>
              <w:pStyle w:val="ListBullet"/>
            </w:pPr>
            <w:r>
              <w:rPr>
                <w:rFonts w:ascii="Calibri" w:hAnsi="Calibri"/>
                <w:sz w:val="22"/>
              </w:rPr>
              <w:t>Développement : 2 à 3 sous-parties par partie, avec une progression logique.</w:t>
            </w:r>
          </w:p>
          <w:p>
            <w:pPr>
              <w:pStyle w:val="ListBullet"/>
            </w:pPr>
            <w:r>
              <w:rPr>
                <w:rFonts w:ascii="Calibri" w:hAnsi="Calibri"/>
                <w:sz w:val="22"/>
              </w:rPr>
              <w:t>Appuis : un repère de scène ou un procédé théâtral par sous-partie (même sans citation longue).</w:t>
            </w:r>
          </w:p>
          <w:p>
            <w:pPr>
              <w:pStyle w:val="ListBullet"/>
            </w:pPr>
            <w:r>
              <w:rPr>
                <w:rFonts w:ascii="Calibri" w:hAnsi="Calibri"/>
                <w:sz w:val="22"/>
              </w:rPr>
              <w:t>Conclusion : réponse nette + bilan + ouverture.</w:t>
            </w:r>
          </w:p>
        </w:tc>
      </w:tr>
    </w:tbl>
    <w:p/>
    <w:p>
      <w:pPr>
        <w:pStyle w:val="Heading1"/>
      </w:pPr>
      <w:r>
        <w:t>Les 5 sujets corrigés</w:t>
      </w:r>
    </w:p>
    <w:p>
      <w:r>
        <w:t>Ce document regroupe cinq sujets très probables, chacun avec reformulation, problématique et plan détaillé. Utilise-le comme banque de plans : adapte les titres et choisis les exemples selon le sujet donné le jour de l’épreuve.</w:t>
      </w:r>
    </w:p>
    <w:p>
      <w:r>
        <w:br w:type="page"/>
      </w:r>
    </w:p>
    <w:p>
      <w:pPr>
        <w:pStyle w:val="Heading1"/>
      </w:pPr>
      <w:r>
        <w:t>Sujet n°1</w:t>
      </w:r>
    </w:p>
    <w:p>
      <w:r>
        <w:rPr>
          <w:b/>
        </w:rPr>
        <w:t>En quoi le théâtre dans le théâtre renforce-t-il la dimension tragique de Les Bonnes ?</w:t>
      </w:r>
    </w:p>
    <w:p>
      <w:pPr>
        <w:pStyle w:val="Heading2"/>
      </w:pPr>
      <w:r>
        <w:t>Reformulation</w:t>
      </w:r>
    </w:p>
    <w:p>
      <w:r>
        <w:t>Comment le jeu de rôle, l’imitation et la mise en abyme transforment-ils la pièce en tragédie ?</w:t>
      </w:r>
    </w:p>
    <w:p>
      <w:pPr>
        <w:pStyle w:val="Heading2"/>
      </w:pPr>
      <w:r>
        <w:t>Problématique possible</w:t>
      </w:r>
    </w:p>
    <w:p>
      <w:r>
        <w:t>Le théâtre dans le théâtre semble offrir un espace de liberté aux bonnes. Pourtant, ne devient-il pas le mécanisme même de leur enfermement, jusqu’au basculement tragique ?</w:t>
      </w:r>
    </w:p>
    <w:p>
      <w:pPr>
        <w:pStyle w:val="Heading2"/>
      </w:pPr>
      <w:r>
        <w:t>Plan détaillé (corrigé)</w:t>
      </w:r>
    </w:p>
    <w:p>
      <w:pPr>
        <w:pStyle w:val="Heading3"/>
      </w:pPr>
      <w:r>
        <w:t>I. Une illusion de puissance : le jeu comme renversement provisoire</w:t>
      </w:r>
    </w:p>
    <w:p>
      <w:pPr>
        <w:pStyle w:val="ListBullet"/>
      </w:pPr>
      <w:r>
        <w:t>Le décor (la chambre) devient scène privée : Madame absente, les bonnes installent leurs règles.</w:t>
      </w:r>
    </w:p>
    <w:p>
      <w:pPr>
        <w:pStyle w:val="ListBullet"/>
      </w:pPr>
      <w:r>
        <w:t>Le costume et les objets de Madame créent une autorité d’emprunt : porter, c’est “devenir”.</w:t>
      </w:r>
    </w:p>
    <w:p>
      <w:pPr>
        <w:pStyle w:val="ListBullet"/>
      </w:pPr>
      <w:r>
        <w:t>La cérémonie donne le sentiment de maîtriser l’action : répéter, c’est croire préparer l’acte.</w:t>
      </w:r>
    </w:p>
    <w:p>
      <w:pPr>
        <w:pStyle w:val="Heading3"/>
      </w:pPr>
      <w:r>
        <w:t>II. Un piège : le jeu reproduit la domination au lieu de l’abolir</w:t>
      </w:r>
    </w:p>
    <w:p>
      <w:pPr>
        <w:pStyle w:val="ListBullet"/>
      </w:pPr>
      <w:r>
        <w:t>Imiter Madame, c’est encore parler sa langue : ordres, humiliations, poses, codes sociaux.</w:t>
      </w:r>
    </w:p>
    <w:p>
      <w:pPr>
        <w:pStyle w:val="ListBullet"/>
      </w:pPr>
      <w:r>
        <w:t>La fascination contamine la révolte : Madame devient nécessaire, même absente.</w:t>
      </w:r>
    </w:p>
    <w:p>
      <w:pPr>
        <w:pStyle w:val="ListBullet"/>
      </w:pPr>
      <w:r>
        <w:t>La répétition intensifie la tension : le rituel exalte, il n’apaise pas.</w:t>
      </w:r>
    </w:p>
    <w:p>
      <w:pPr>
        <w:pStyle w:val="Heading3"/>
      </w:pPr>
      <w:r>
        <w:t>III. Le tragique : quand la représentation déborde et rend le réel impossible</w:t>
      </w:r>
    </w:p>
    <w:p>
      <w:pPr>
        <w:pStyle w:val="ListBullet"/>
      </w:pPr>
      <w:r>
        <w:t>Au moment où l’acte devrait advenir, le réel résiste : l’action ne se commande pas comme une scène.</w:t>
      </w:r>
    </w:p>
    <w:p>
      <w:pPr>
        <w:pStyle w:val="ListBullet"/>
      </w:pPr>
      <w:r>
        <w:t>Après le masque, redevenir “bonne” devient insupportable : l’identité se fissure.</w:t>
      </w:r>
    </w:p>
    <w:p>
      <w:pPr>
        <w:pStyle w:val="ListBullet"/>
      </w:pPr>
      <w:r>
        <w:t>Le théâtre avale la vie : l’issue tragique apparaît comme la fermeture du rituel sur lui-même.</w:t>
      </w:r>
    </w:p>
    <w:p>
      <w:pPr>
        <w:pStyle w:val="Heading2"/>
      </w:pPr>
      <w:r>
        <w:t>Conclusion modèle</w:t>
      </w:r>
    </w:p>
    <w:p>
      <w:r>
        <w:t>Le théâtre dans le théâtre n’est pas un simple procédé. Il révèle que le pouvoir est une mise en scène, mais il montre aussi que l’imitation peut devenir une prison. En jouant Madame, les bonnes la renforcent autant qu’elles la combattent : la tragédie naît de cette impasse.</w:t>
      </w:r>
    </w:p>
    <w:p>
      <w:pPr>
        <w:pStyle w:val="Heading3"/>
      </w:pPr>
      <w:r>
        <w:t>Ouverture possible</w:t>
      </w:r>
    </w:p>
    <w:p>
      <w:r>
        <w:t>On peut comparer cette logique du masque à d’autres œuvres où la représentation révèle l’aliénation plutôt qu’elle ne délivre.</w:t>
      </w:r>
    </w:p>
    <w:p>
      <w:pPr>
        <w:pStyle w:val="Heading2"/>
      </w:pPr>
      <w:r>
        <w:t>Espace brouillon / repères de scène</w:t>
      </w:r>
    </w:p>
    <w:p>
      <w:r>
        <w:t>• …</w:t>
      </w:r>
    </w:p>
    <w:p>
      <w:r>
        <w:t>• …</w:t>
      </w:r>
    </w:p>
    <w:p>
      <w:r>
        <w:br w:type="page"/>
      </w:r>
    </w:p>
    <w:p>
      <w:pPr>
        <w:pStyle w:val="Heading1"/>
      </w:pPr>
      <w:r>
        <w:t>Sujet n°2</w:t>
      </w:r>
    </w:p>
    <w:p>
      <w:r>
        <w:rPr>
          <w:b/>
        </w:rPr>
        <w:t>Les Bonnes est-elle une pièce sociale ?</w:t>
      </w:r>
    </w:p>
    <w:p>
      <w:pPr>
        <w:pStyle w:val="Heading2"/>
      </w:pPr>
      <w:r>
        <w:t>Reformulation</w:t>
      </w:r>
    </w:p>
    <w:p>
      <w:r>
        <w:t>La pièce dénonce-t-elle surtout une injustice sociale, ou dépasse-t-elle la critique sociale ?</w:t>
      </w:r>
    </w:p>
    <w:p>
      <w:pPr>
        <w:pStyle w:val="Heading2"/>
      </w:pPr>
      <w:r>
        <w:t>Problématique possible</w:t>
      </w:r>
    </w:p>
    <w:p>
      <w:r>
        <w:t>Genet met en scène une domination évidente. Mais la pièce n’est-elle qu’un réquisitoire contre la hiérarchie, ou une exploration plus profonde du désir, du rôle et de la violence symbolique ?</w:t>
      </w:r>
    </w:p>
    <w:p>
      <w:pPr>
        <w:pStyle w:val="Heading2"/>
      </w:pPr>
      <w:r>
        <w:t>Plan détaillé (corrigé)</w:t>
      </w:r>
    </w:p>
    <w:p>
      <w:pPr>
        <w:pStyle w:val="Heading3"/>
      </w:pPr>
      <w:r>
        <w:t>I. Une lecture sociale s’impose : la hiérarchie structure tout</w:t>
      </w:r>
    </w:p>
    <w:p>
      <w:pPr>
        <w:pStyle w:val="ListBullet"/>
      </w:pPr>
      <w:r>
        <w:t>Le trio Madame–Claire–Solange organise la maison en places inégales : servir, attendre, obéir.</w:t>
      </w:r>
    </w:p>
    <w:p>
      <w:pPr>
        <w:pStyle w:val="ListBullet"/>
      </w:pPr>
      <w:r>
        <w:t>La violence sociale passe par le quotidien : gestes, politesse, injonctions, regard.</w:t>
      </w:r>
    </w:p>
    <w:p>
      <w:pPr>
        <w:pStyle w:val="ListBullet"/>
      </w:pPr>
      <w:r>
        <w:t>La révolte naît d’un enfermement : le “dehors” est inaccessible, la chambre devient monde total.</w:t>
      </w:r>
    </w:p>
    <w:p>
      <w:pPr>
        <w:pStyle w:val="Heading3"/>
      </w:pPr>
      <w:r>
        <w:t>II. Genet dépasse la dénonciation : le conflit est aussi intime et imaginaire</w:t>
      </w:r>
    </w:p>
    <w:p>
      <w:pPr>
        <w:pStyle w:val="ListBullet"/>
      </w:pPr>
      <w:r>
        <w:t>Madame n’est pas seulement une bourgeoise : elle devient figure, modèle, projection.</w:t>
      </w:r>
    </w:p>
    <w:p>
      <w:pPr>
        <w:pStyle w:val="ListBullet"/>
      </w:pPr>
      <w:r>
        <w:t>Le duo des sœurs révèle une violence circulante : domination et soumission se rejouent entre elles.</w:t>
      </w:r>
    </w:p>
    <w:p>
      <w:pPr>
        <w:pStyle w:val="ListBullet"/>
      </w:pPr>
      <w:r>
        <w:t>La pièce interroge le désir du pouvoir : vouloir la place de l’autre, c’est risquer de s’y perdre.</w:t>
      </w:r>
    </w:p>
    <w:p>
      <w:pPr>
        <w:pStyle w:val="Heading3"/>
      </w:pPr>
      <w:r>
        <w:t>III. Une pièce sociale transfigurée en mythe théâtral</w:t>
      </w:r>
    </w:p>
    <w:p>
      <w:pPr>
        <w:pStyle w:val="ListBullet"/>
      </w:pPr>
      <w:r>
        <w:t>La mise en abyme transforme la lutte sociale en rituel : répétition, cérémonie, vertige.</w:t>
      </w:r>
    </w:p>
    <w:p>
      <w:pPr>
        <w:pStyle w:val="ListBullet"/>
      </w:pPr>
      <w:r>
        <w:t>Le théâtre révèle le pouvoir comme système de signes : costume, langage, décor.</w:t>
      </w:r>
    </w:p>
    <w:p>
      <w:pPr>
        <w:pStyle w:val="ListBullet"/>
      </w:pPr>
      <w:r>
        <w:t>L’issue tragique souligne une impasse : renverser sans inventer reproduit ce que l’on combat.</w:t>
      </w:r>
    </w:p>
    <w:p>
      <w:pPr>
        <w:pStyle w:val="Heading2"/>
      </w:pPr>
      <w:r>
        <w:t>Conclusion modèle</w:t>
      </w:r>
    </w:p>
    <w:p>
      <w:r>
        <w:t>Oui, Les Bonnes est une pièce sociale, parce que la domination y est structurelle. Mais Genet écrit plus qu’une dénonciation : il met à nu la part intérieure du pouvoir, celle qui s’installe dans le langage, les rêves et les masques.</w:t>
      </w:r>
    </w:p>
    <w:p>
      <w:pPr>
        <w:pStyle w:val="Heading3"/>
      </w:pPr>
      <w:r>
        <w:t>Ouverture possible</w:t>
      </w:r>
    </w:p>
    <w:p>
      <w:r>
        <w:t>On peut prolonger la réflexion sur la manière dont le théâtre rend visible une domination “ordinaire”, parfois polie, mais toujours efficace.</w:t>
      </w:r>
    </w:p>
    <w:p>
      <w:pPr>
        <w:pStyle w:val="Heading2"/>
      </w:pPr>
      <w:r>
        <w:t>Espace brouillon / repères de scène</w:t>
      </w:r>
    </w:p>
    <w:p>
      <w:r>
        <w:t>• …</w:t>
      </w:r>
    </w:p>
    <w:p>
      <w:r>
        <w:t>• …</w:t>
      </w:r>
    </w:p>
    <w:p>
      <w:r>
        <w:br w:type="page"/>
      </w:r>
    </w:p>
    <w:p>
      <w:pPr>
        <w:pStyle w:val="Heading1"/>
      </w:pPr>
      <w:r>
        <w:t>Sujet n°3</w:t>
      </w:r>
    </w:p>
    <w:p>
      <w:r>
        <w:rPr>
          <w:b/>
        </w:rPr>
        <w:t>Comment la parole devient-elle une forme de violence dans Les Bonnes ?</w:t>
      </w:r>
    </w:p>
    <w:p>
      <w:pPr>
        <w:pStyle w:val="Heading2"/>
      </w:pPr>
      <w:r>
        <w:t>Reformulation</w:t>
      </w:r>
    </w:p>
    <w:p>
      <w:r>
        <w:t>En quoi le langage remplace-t-il les coups et fabrique-t-il l’action dramatique ?</w:t>
      </w:r>
    </w:p>
    <w:p>
      <w:pPr>
        <w:pStyle w:val="Heading2"/>
      </w:pPr>
      <w:r>
        <w:t>Problématique possible</w:t>
      </w:r>
    </w:p>
    <w:p>
      <w:r>
        <w:t>Dans Les Bonnes, la violence n’est pas seulement un projet de meurtre : elle se déploie d’abord dans la parole, qui humilie, transforme et enchaîne. Comment Genet fait-il du langage une arme et un moteur tragique ?</w:t>
      </w:r>
    </w:p>
    <w:p>
      <w:pPr>
        <w:pStyle w:val="Heading2"/>
      </w:pPr>
      <w:r>
        <w:t>Plan détaillé (corrigé)</w:t>
      </w:r>
    </w:p>
    <w:p>
      <w:pPr>
        <w:pStyle w:val="Heading3"/>
      </w:pPr>
      <w:r>
        <w:t>I. La parole construit la hiérarchie : ordonner, c’est distribuer les places</w:t>
      </w:r>
    </w:p>
    <w:p>
      <w:pPr>
        <w:pStyle w:val="ListBullet"/>
      </w:pPr>
      <w:r>
        <w:t>Ordres et injonctions : la langue fixe qui commande et qui obéit.</w:t>
      </w:r>
    </w:p>
    <w:p>
      <w:pPr>
        <w:pStyle w:val="ListBullet"/>
      </w:pPr>
      <w:r>
        <w:t>La politesse peut être une violence froide : elle rend l’inégalité acceptable.</w:t>
      </w:r>
    </w:p>
    <w:p>
      <w:pPr>
        <w:pStyle w:val="ListBullet"/>
      </w:pPr>
      <w:r>
        <w:t>Le décor renforce le pouvoir des mots : la chambre de Madame est un tribunal intime.</w:t>
      </w:r>
    </w:p>
    <w:p>
      <w:pPr>
        <w:pStyle w:val="Heading3"/>
      </w:pPr>
      <w:r>
        <w:t>II. La parole devient arme au sein du duo : le conflit intime se dit et se fait</w:t>
      </w:r>
    </w:p>
    <w:p>
      <w:pPr>
        <w:pStyle w:val="ListBullet"/>
      </w:pPr>
      <w:r>
        <w:t>Bascule tendresse/cruauté : la relation se transforme en lutte de positions.</w:t>
      </w:r>
    </w:p>
    <w:p>
      <w:pPr>
        <w:pStyle w:val="ListBullet"/>
      </w:pPr>
      <w:r>
        <w:t>Humilier l’autre pour survivre : la violence comme défense et comme preuve d’existence.</w:t>
      </w:r>
    </w:p>
    <w:p>
      <w:pPr>
        <w:pStyle w:val="ListBullet"/>
      </w:pPr>
      <w:r>
        <w:t>Fabriquer des doubles : enfermer l’autre dans un rôle par le vocabulaire et le ton.</w:t>
      </w:r>
    </w:p>
    <w:p>
      <w:pPr>
        <w:pStyle w:val="Heading3"/>
      </w:pPr>
      <w:r>
        <w:t>III. Le langage devient acte : le rituel verbal pousse au point de rupture</w:t>
      </w:r>
    </w:p>
    <w:p>
      <w:pPr>
        <w:pStyle w:val="ListBullet"/>
      </w:pPr>
      <w:r>
        <w:t>Parole performative : menacer, dégrader, sacraliser, c’est déjà agir.</w:t>
      </w:r>
    </w:p>
    <w:p>
      <w:pPr>
        <w:pStyle w:val="ListBullet"/>
      </w:pPr>
      <w:r>
        <w:t>La répétition intensifie le désir d’en finir : le mot appelle l’issue.</w:t>
      </w:r>
    </w:p>
    <w:p>
      <w:pPr>
        <w:pStyle w:val="ListBullet"/>
      </w:pPr>
      <w:r>
        <w:t>L’excès verbal empêche le retour en arrière : les mots ont déjà transformé les personnages.</w:t>
      </w:r>
    </w:p>
    <w:p>
      <w:pPr>
        <w:pStyle w:val="Heading2"/>
      </w:pPr>
      <w:r>
        <w:t>Conclusion modèle</w:t>
      </w:r>
    </w:p>
    <w:p>
      <w:r>
        <w:t>Chez Genet, la phrase est une lame. Elle construit le pouvoir, reproduit la domination, divise les sœurs et pousse le jeu jusqu’à l’insoutenable. La parole est le véritable moteur dramatique : elle fait advenir la violence avant même l’acte.</w:t>
      </w:r>
    </w:p>
    <w:p>
      <w:pPr>
        <w:pStyle w:val="Heading3"/>
      </w:pPr>
      <w:r>
        <w:t>Ouverture possible</w:t>
      </w:r>
    </w:p>
    <w:p>
      <w:r>
        <w:t>On pourra élargir à la question de la “parole théâtrale” : dire au théâtre, est-ce toujours faire ?</w:t>
      </w:r>
    </w:p>
    <w:p>
      <w:pPr>
        <w:pStyle w:val="Heading2"/>
      </w:pPr>
      <w:r>
        <w:t>Espace brouillon / repères de scène</w:t>
      </w:r>
    </w:p>
    <w:p>
      <w:r>
        <w:t>• …</w:t>
      </w:r>
    </w:p>
    <w:p>
      <w:r>
        <w:t>• …</w:t>
      </w:r>
    </w:p>
    <w:p>
      <w:r>
        <w:br w:type="page"/>
      </w:r>
    </w:p>
    <w:p>
      <w:pPr>
        <w:pStyle w:val="Heading1"/>
      </w:pPr>
      <w:r>
        <w:t>Sujet n°4</w:t>
      </w:r>
    </w:p>
    <w:p>
      <w:r>
        <w:rPr>
          <w:b/>
        </w:rPr>
        <w:t>Le travestissement libère-t-il les personnages ?</w:t>
      </w:r>
    </w:p>
    <w:p>
      <w:pPr>
        <w:pStyle w:val="Heading2"/>
      </w:pPr>
      <w:r>
        <w:t>Reformulation</w:t>
      </w:r>
    </w:p>
    <w:p>
      <w:r>
        <w:t>Se déguiser en Madame émancipe-t-il Claire et Solange, ou les enferme-t-il davantage ?</w:t>
      </w:r>
    </w:p>
    <w:p>
      <w:pPr>
        <w:pStyle w:val="Heading2"/>
      </w:pPr>
      <w:r>
        <w:t>Problématique possible</w:t>
      </w:r>
    </w:p>
    <w:p>
      <w:r>
        <w:t>Le travestissement semble offrir un renversement. Pourtant, en empruntant les signes du pouvoir, les bonnes ne risquent-elles pas d’absorber ce qu’elles veulent détruire ?</w:t>
      </w:r>
    </w:p>
    <w:p>
      <w:pPr>
        <w:pStyle w:val="Heading2"/>
      </w:pPr>
      <w:r>
        <w:t>Plan détaillé (corrigé)</w:t>
      </w:r>
    </w:p>
    <w:p>
      <w:pPr>
        <w:pStyle w:val="Heading3"/>
      </w:pPr>
      <w:r>
        <w:t>I. Le travestissement comme expérience de libération</w:t>
      </w:r>
    </w:p>
    <w:p>
      <w:pPr>
        <w:pStyle w:val="ListBullet"/>
      </w:pPr>
      <w:r>
        <w:t>Endosser la robe : éprouver une puissance interdite, ouvrir une brèche.</w:t>
      </w:r>
    </w:p>
    <w:p>
      <w:pPr>
        <w:pStyle w:val="ListBullet"/>
      </w:pPr>
      <w:r>
        <w:t>Renversement provisoire : la bonne commande dans le jeu, Madame obéit.</w:t>
      </w:r>
    </w:p>
    <w:p>
      <w:pPr>
        <w:pStyle w:val="ListBullet"/>
      </w:pPr>
      <w:r>
        <w:t>Révélation : le pouvoir apparaît comme mise en scène (costume, posture, langage).</w:t>
      </w:r>
    </w:p>
    <w:p>
      <w:pPr>
        <w:pStyle w:val="Heading3"/>
      </w:pPr>
      <w:r>
        <w:t>II. Une libération ambiguë : l’imitation du dominant contamine la révolte</w:t>
      </w:r>
    </w:p>
    <w:p>
      <w:pPr>
        <w:pStyle w:val="ListBullet"/>
      </w:pPr>
      <w:r>
        <w:t>Liberté empruntée : on prend la forme du pouvoir, on n’invente pas une autre forme.</w:t>
      </w:r>
    </w:p>
    <w:p>
      <w:pPr>
        <w:pStyle w:val="ListBullet"/>
      </w:pPr>
      <w:r>
        <w:t>Fascination et haine mêlées : désirer ce que l’on combat.</w:t>
      </w:r>
    </w:p>
    <w:p>
      <w:pPr>
        <w:pStyle w:val="ListBullet"/>
      </w:pPr>
      <w:r>
        <w:t>Le masque remplace l’identité : se perdre dans la représentation.</w:t>
      </w:r>
    </w:p>
    <w:p>
      <w:pPr>
        <w:pStyle w:val="Heading3"/>
      </w:pPr>
      <w:r>
        <w:t>III. L’impasse tragique : après le masque, il n’y a plus de retour simple</w:t>
      </w:r>
    </w:p>
    <w:p>
      <w:pPr>
        <w:pStyle w:val="ListBullet"/>
      </w:pPr>
      <w:r>
        <w:t>Redevenir soi devient humiliation : la condition initiale est intenable.</w:t>
      </w:r>
    </w:p>
    <w:p>
      <w:pPr>
        <w:pStyle w:val="ListBullet"/>
      </w:pPr>
      <w:r>
        <w:t>Le rituel exige une issue : l’échec du jeu appelle la catastrophe.</w:t>
      </w:r>
    </w:p>
    <w:p>
      <w:pPr>
        <w:pStyle w:val="ListBullet"/>
      </w:pPr>
      <w:r>
        <w:t>Changer de costume ne change pas le monde : le renversement sans invention conduit au désastre.</w:t>
      </w:r>
    </w:p>
    <w:p>
      <w:pPr>
        <w:pStyle w:val="Heading2"/>
      </w:pPr>
      <w:r>
        <w:t>Conclusion modèle</w:t>
      </w:r>
    </w:p>
    <w:p>
      <w:r>
        <w:t>Le travestissement ouvre un instant de domination inversée, mais il enferme les bonnes dans la forme même du pouvoir. Genet montre ainsi que la libération ne peut pas être une copie : elle exige une invention, pas un simple échange de rôles.</w:t>
      </w:r>
    </w:p>
    <w:p>
      <w:pPr>
        <w:pStyle w:val="Heading3"/>
      </w:pPr>
      <w:r>
        <w:t>Ouverture possible</w:t>
      </w:r>
    </w:p>
    <w:p>
      <w:r>
        <w:t>On peut rapprocher cette impasse de la question du “déguisement” dans d’autres pièces : masque libérateur ou masque aliénant ?</w:t>
      </w:r>
    </w:p>
    <w:p>
      <w:pPr>
        <w:pStyle w:val="Heading2"/>
      </w:pPr>
      <w:r>
        <w:t>Espace brouillon / repères de scène</w:t>
      </w:r>
    </w:p>
    <w:p>
      <w:r>
        <w:t>• …</w:t>
      </w:r>
    </w:p>
    <w:p>
      <w:r>
        <w:t>• …</w:t>
      </w:r>
    </w:p>
    <w:p>
      <w:r>
        <w:br w:type="page"/>
      </w:r>
    </w:p>
    <w:p>
      <w:pPr>
        <w:pStyle w:val="Heading1"/>
      </w:pPr>
      <w:r>
        <w:t>Sujet n°5</w:t>
      </w:r>
    </w:p>
    <w:p>
      <w:r>
        <w:rPr>
          <w:b/>
        </w:rPr>
        <w:t>Madame est-elle un personnage ou un symbole ?</w:t>
      </w:r>
    </w:p>
    <w:p>
      <w:pPr>
        <w:pStyle w:val="Heading2"/>
      </w:pPr>
      <w:r>
        <w:t>Reformulation</w:t>
      </w:r>
    </w:p>
    <w:p>
      <w:r>
        <w:t>Madame est-elle une figure réaliste, ou l’incarnation du pouvoir et du désir social ?</w:t>
      </w:r>
    </w:p>
    <w:p>
      <w:pPr>
        <w:pStyle w:val="Heading2"/>
      </w:pPr>
      <w:r>
        <w:t>Problématique possible</w:t>
      </w:r>
    </w:p>
    <w:p>
      <w:r>
        <w:t>Madame existe sur scène comme une femme concrète. Mais elle est aussi une image, un rôle, une construction. Comment Genet fait-il d’elle à la fois un personnage et un symbole, et pourquoi cette ambiguïté est-elle essentielle ?</w:t>
      </w:r>
    </w:p>
    <w:p>
      <w:pPr>
        <w:pStyle w:val="Heading2"/>
      </w:pPr>
      <w:r>
        <w:t>Plan détaillé (corrigé)</w:t>
      </w:r>
    </w:p>
    <w:p>
      <w:pPr>
        <w:pStyle w:val="Heading3"/>
      </w:pPr>
      <w:r>
        <w:t>I. Madame comme personnage réel : une présence inscrite dans une situation</w:t>
      </w:r>
    </w:p>
    <w:p>
      <w:pPr>
        <w:pStyle w:val="ListBullet"/>
      </w:pPr>
      <w:r>
        <w:t>Gestes, habitudes, relations : une femme concrète dans une maison.</w:t>
      </w:r>
    </w:p>
    <w:p>
      <w:pPr>
        <w:pStyle w:val="ListBullet"/>
      </w:pPr>
      <w:r>
        <w:t>Autorité quotidienne : un pouvoir banal, donc efficace.</w:t>
      </w:r>
    </w:p>
    <w:p>
      <w:pPr>
        <w:pStyle w:val="ListBullet"/>
      </w:pPr>
      <w:r>
        <w:t>Rôle dans l’action : ses absences et retours organisent la tension dramatique.</w:t>
      </w:r>
    </w:p>
    <w:p>
      <w:pPr>
        <w:pStyle w:val="Heading3"/>
      </w:pPr>
      <w:r>
        <w:t>II. Madame comme symbole : la forme visible d’une place sociale</w:t>
      </w:r>
    </w:p>
    <w:p>
      <w:pPr>
        <w:pStyle w:val="ListBullet"/>
      </w:pPr>
      <w:r>
        <w:t>Une position plus qu’une psychologie : richesse, statut, légitimité.</w:t>
      </w:r>
    </w:p>
    <w:p>
      <w:pPr>
        <w:pStyle w:val="ListBullet"/>
      </w:pPr>
      <w:r>
        <w:t>Les objets prolongent sa domination : chambre, robe, parfum, signes.</w:t>
      </w:r>
    </w:p>
    <w:p>
      <w:pPr>
        <w:pStyle w:val="ListBullet"/>
      </w:pPr>
      <w:r>
        <w:t>Un pouvoir qui agit même dans l’absence : elle règne comme idée.</w:t>
      </w:r>
    </w:p>
    <w:p>
      <w:pPr>
        <w:pStyle w:val="Heading3"/>
      </w:pPr>
      <w:r>
        <w:t>III. Madame comme projection : fabriquée par le regard et le jeu des bonnes</w:t>
      </w:r>
    </w:p>
    <w:p>
      <w:pPr>
        <w:pStyle w:val="ListBullet"/>
      </w:pPr>
      <w:r>
        <w:t>Les bonnes la rejouent : Madame devient personnage du rituel.</w:t>
      </w:r>
    </w:p>
    <w:p>
      <w:pPr>
        <w:pStyle w:val="ListBullet"/>
      </w:pPr>
      <w:r>
        <w:t>Elle reflète leurs désirs : puissance, beauté, ascension.</w:t>
      </w:r>
    </w:p>
    <w:p>
      <w:pPr>
        <w:pStyle w:val="ListBullet"/>
      </w:pPr>
      <w:r>
        <w:t>Le symbole devient piège : Madame survit dans le langage et les masques, même si on la vise.</w:t>
      </w:r>
    </w:p>
    <w:p>
      <w:pPr>
        <w:pStyle w:val="Heading2"/>
      </w:pPr>
      <w:r>
        <w:t>Conclusion modèle</w:t>
      </w:r>
    </w:p>
    <w:p>
      <w:r>
        <w:t>Madame est à la fois personne et principe. Elle incarne une domination devenue “naturelle”, prolongée par les signes et intériorisée par les bonnes. Cette ambiguïté rend la pièce troublante : l’ennemie n’est pas seulement une femme, c’est un système de rôles.</w:t>
      </w:r>
    </w:p>
    <w:p>
      <w:pPr>
        <w:pStyle w:val="Heading3"/>
      </w:pPr>
      <w:r>
        <w:t>Ouverture possible</w:t>
      </w:r>
    </w:p>
    <w:p>
      <w:r>
        <w:t>On peut prolonger par une réflexion sur la domination symbolique : comment un pouvoir survit-il à ceux qui l’exercent ?</w:t>
      </w:r>
    </w:p>
    <w:p>
      <w:pPr>
        <w:pStyle w:val="Heading2"/>
      </w:pPr>
      <w:r>
        <w:t>Espace brouillon / repères de scène</w:t>
      </w:r>
    </w:p>
    <w:p>
      <w:r>
        <w:t>• …</w:t>
      </w:r>
    </w:p>
    <w:p>
      <w:r>
        <w:t>• …</w:t>
      </w:r>
    </w:p>
    <w:sectPr w:rsidR="00FC693F" w:rsidRPr="0006063C" w:rsidSect="00034616">
      <w:footerReference w:type="default" r:id="rId9"/>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40" w:lineRule="auto"/>
    </w:pPr>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120"/>
      <w:outlineLvl w:val="0"/>
    </w:pPr>
    <w:rPr>
      <w:rFonts w:asciiTheme="majorHAnsi" w:eastAsiaTheme="majorEastAsia" w:hAnsiTheme="majorHAnsi" w:cstheme="majorBidi" w:ascii="Calibri" w:hAnsi="Calibri"/>
      <w:b/>
      <w:bCs/>
      <w:color w:val="0F3D3E"/>
      <w:sz w:val="3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Calibri" w:hAnsi="Calibri"/>
      <w:b/>
      <w:bCs/>
      <w:color w:val="0F3D3E"/>
      <w:sz w:val="26"/>
      <w:szCs w:val="26"/>
    </w:rPr>
  </w:style>
  <w:style w:type="paragraph" w:styleId="Heading3">
    <w:name w:val="heading 3"/>
    <w:basedOn w:val="Normal"/>
    <w:next w:val="Normal"/>
    <w:link w:val="Heading3Char"/>
    <w:uiPriority w:val="9"/>
    <w:unhideWhenUsed/>
    <w:qFormat/>
    <w:rsid w:val="00FC693F"/>
    <w:pPr>
      <w:keepNext/>
      <w:keepLines/>
      <w:spacing w:before="240" w:after="120"/>
      <w:outlineLvl w:val="2"/>
    </w:pPr>
    <w:rPr>
      <w:rFonts w:asciiTheme="majorHAnsi" w:eastAsiaTheme="majorEastAsia" w:hAnsiTheme="majorHAnsi" w:cstheme="majorBidi" w:ascii="Calibri" w:hAnsi="Calibri"/>
      <w:b/>
      <w:bCs/>
      <w:color w:val="0F3D3E"/>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LCGTitle">
    <w:name w:val="LCG Title"/>
    <w:basedOn w:val="Title"/>
    <w:pPr>
      <w:spacing w:after="120"/>
    </w:pPr>
    <w:rPr>
      <w:rFonts w:ascii="Calibri" w:hAnsi="Calibri"/>
      <w:b/>
      <w:color w:val="FFFFFF"/>
      <w:sz w:val="52"/>
    </w:rPr>
  </w:style>
  <w:style w:type="paragraph" w:customStyle="1" w:styleId="LCGSubtitle">
    <w:name w:val="LCG Subtitle"/>
    <w:basedOn w:val="Subtitle"/>
    <w:pPr>
      <w:spacing w:after="0"/>
    </w:pPr>
    <w:rPr>
      <w:rFonts w:ascii="Calibri" w:hAnsi="Calibri"/>
      <w:color w:val="E6F5F4"/>
      <w:sz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