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9972"/>
      </w:tblGrid>
      <w:tr>
        <w:tc>
          <w:tcPr>
            <w:tcW w:type="dxa" w:w="9972"/>
            <w:shd w:val="clear" w:color="auto" w:fill="0F3D3E"/>
            <w:vAlign w:val="center"/>
            <w:tcBorders>
              <w:start w:sz="0" w:val="nil" w:color="FFFFFF"/>
              <w:top w:sz="0" w:val="nil" w:color="FFFFFF"/>
              <w:end w:sz="0" w:val="nil" w:color="FFFFFF"/>
              <w:bottom w:sz="0" w:val="nil" w:color="FFFFFF"/>
            </w:tcBorders>
          </w:tcPr>
          <w:p>
            <w:pPr>
              <w:jc w:val="left"/>
            </w:pPr>
            <w:r>
              <w:rPr>
                <w:rFonts w:ascii="Calibri" w:hAnsi="Calibri"/>
                <w:b/>
                <w:color w:val="FFFFFF"/>
                <w:sz w:val="52"/>
              </w:rPr>
              <w:t>Les Bonnes - Jean Genet</w:t>
            </w:r>
          </w:p>
          <w:p>
            <w:pPr>
              <w:pStyle w:val="LCGSubtitle"/>
              <w:jc w:val="left"/>
            </w:pPr>
            <w:r>
              <w:t>Sujet type bac n°3 + plan détaillé corrigé</w:t>
            </w:r>
          </w:p>
          <w:p>
            <w:pPr>
              <w:jc w:val="left"/>
            </w:pPr>
            <w:r>
              <w:rPr>
                <w:rFonts w:ascii="Calibri" w:hAnsi="Calibri"/>
                <w:color w:val="DCEBEA"/>
                <w:sz w:val="20"/>
              </w:rPr>
              <w:t>Fiches de révision - dissertation / commentaire composé</w:t>
            </w:r>
          </w:p>
          <w:p>
            <w:pPr>
              <w:jc w:val="left"/>
            </w:pPr>
            <w:r>
              <w:rPr>
                <w:rFonts w:ascii="Calibri" w:hAnsi="Calibri"/>
                <w:color w:val="DCEBEA"/>
                <w:sz w:val="20"/>
              </w:rPr>
              <w:t>Document prêt à imprimer et à annoter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2"/>
      </w:tblGrid>
      <w:tr>
        <w:tc>
          <w:tcPr>
            <w:tcW w:type="dxa" w:w="9972"/>
            <w:shd w:val="clear" w:color="auto" w:fill="E9F4F3"/>
            <w:tcBorders>
              <w:start w:sz="8" w:val="single" w:color="0F3D3E"/>
              <w:top w:sz="8" w:val="single" w:color="0F3D3E"/>
              <w:end w:sz="8" w:val="single" w:color="0F3D3E"/>
              <w:bottom w:sz="8" w:val="single" w:color="0F3D3E"/>
            </w:tcBorders>
          </w:tcPr>
          <w:p>
            <w:r>
              <w:rPr>
                <w:b/>
                <w:color w:val="0F3D3E"/>
                <w:sz w:val="24"/>
              </w:rPr>
              <w:t>À faire avant d’écrire (méthode express)</w:t>
            </w:r>
          </w:p>
          <w:p>
            <w:pPr>
              <w:pStyle w:val="ListBullet"/>
            </w:pPr>
            <w:r>
              <w:rPr>
                <w:rFonts w:ascii="Calibri" w:hAnsi="Calibri"/>
                <w:sz w:val="22"/>
              </w:rPr>
              <w:t>Reformule le sujet avec tes mots : qu’est-ce qu’on te demande exactement ?</w:t>
            </w:r>
          </w:p>
          <w:p>
            <w:pPr>
              <w:pStyle w:val="ListBullet"/>
            </w:pPr>
            <w:r>
              <w:rPr>
                <w:rFonts w:ascii="Calibri" w:hAnsi="Calibri"/>
                <w:sz w:val="22"/>
              </w:rPr>
              <w:t>Formule une problématique (une vraie question qui ouvre un débat).</w:t>
            </w:r>
          </w:p>
          <w:p>
            <w:pPr>
              <w:pStyle w:val="ListBullet"/>
            </w:pPr>
            <w:r>
              <w:rPr>
                <w:rFonts w:ascii="Calibri" w:hAnsi="Calibri"/>
                <w:sz w:val="22"/>
              </w:rPr>
              <w:t>Annonce un plan progressif : chaque partie doit répondre à la problématique.</w:t>
            </w:r>
          </w:p>
          <w:p>
            <w:pPr>
              <w:pStyle w:val="ListBullet"/>
            </w:pPr>
            <w:r>
              <w:rPr>
                <w:rFonts w:ascii="Calibri" w:hAnsi="Calibri"/>
                <w:sz w:val="22"/>
              </w:rPr>
              <w:t>Dans chaque sous-partie, pense : idée + explication + repère de scène / procédé.</w:t>
            </w:r>
          </w:p>
        </w:tc>
      </w:tr>
    </w:tbl>
    <w:p/>
    <w:p>
      <w:pPr>
        <w:pStyle w:val="Heading1"/>
      </w:pPr>
      <w:r>
        <w:t>Sujet</w:t>
      </w:r>
    </w:p>
    <w:p>
      <w:r>
        <w:rPr>
          <w:b/>
        </w:rPr>
        <w:t>Comment la parole devient-elle une forme de violence dans Les Bonnes ?</w:t>
      </w:r>
    </w:p>
    <w:p>
      <w:pPr>
        <w:pStyle w:val="Heading2"/>
      </w:pPr>
      <w:r>
        <w:t>Reformulation</w:t>
      </w:r>
    </w:p>
    <w:p>
      <w:r>
        <w:t>En quoi le langage remplace-t-il les coups et fabrique-t-il l’action dramatique ?</w:t>
      </w:r>
    </w:p>
    <w:p>
      <w:pPr>
        <w:pStyle w:val="Heading2"/>
      </w:pPr>
      <w:r>
        <w:t>Problématique possible</w:t>
      </w:r>
    </w:p>
    <w:p>
      <w:r>
        <w:t>Dans Les Bonnes, la violence n’est pas seulement un projet de meurtre : elle se déploie d’abord dans la parole, qui humilie, transforme et enchaîne. Comment Genet fait-il du langage une arme et un moteur tragique ?</w:t>
      </w:r>
    </w:p>
    <w:p>
      <w:pPr>
        <w:pStyle w:val="Heading1"/>
      </w:pPr>
      <w:r>
        <w:t>Plan détaillé (corrigé)</w:t>
      </w:r>
    </w:p>
    <w:p>
      <w:pPr>
        <w:pStyle w:val="Heading2"/>
      </w:pPr>
      <w:r>
        <w:t>I. La parole construit la hiérarchie : ordonner, c’est distribuer les places</w:t>
      </w:r>
    </w:p>
    <w:p>
      <w:pPr>
        <w:pStyle w:val="ListBullet"/>
      </w:pPr>
      <w:r>
        <w:t>Ordres et injonctions : la langue fixe qui commande et qui obéit.</w:t>
      </w:r>
    </w:p>
    <w:p>
      <w:pPr>
        <w:pStyle w:val="ListBullet"/>
      </w:pPr>
      <w:r>
        <w:t>La politesse peut être une violence froide : elle rend l’inégalité acceptable.</w:t>
      </w:r>
    </w:p>
    <w:p>
      <w:pPr>
        <w:pStyle w:val="ListBullet"/>
      </w:pPr>
      <w:r>
        <w:t>Le décor renforce le pouvoir des mots : la chambre de Madame est un tribunal intime.</w:t>
      </w:r>
    </w:p>
    <w:p>
      <w:pPr>
        <w:pStyle w:val="Heading2"/>
      </w:pPr>
      <w:r>
        <w:t>II. La parole devient arme au sein du duo : le conflit intime se dit et se fait</w:t>
      </w:r>
    </w:p>
    <w:p>
      <w:pPr>
        <w:pStyle w:val="ListBullet"/>
      </w:pPr>
      <w:r>
        <w:t>Bascule tendresse/cruauté : la relation se transforme en lutte de positions.</w:t>
      </w:r>
    </w:p>
    <w:p>
      <w:pPr>
        <w:pStyle w:val="ListBullet"/>
      </w:pPr>
      <w:r>
        <w:t>Humilier l’autre pour survivre : la violence comme défense et comme preuve d’existence.</w:t>
      </w:r>
    </w:p>
    <w:p>
      <w:pPr>
        <w:pStyle w:val="ListBullet"/>
      </w:pPr>
      <w:r>
        <w:t>Fabriquer des doubles : enfermer l’autre dans un rôle par le vocabulaire et le ton.</w:t>
      </w:r>
    </w:p>
    <w:p>
      <w:pPr>
        <w:pStyle w:val="Heading2"/>
      </w:pPr>
      <w:r>
        <w:t>III. Le langage devient acte : le rituel verbal pousse au point de rupture</w:t>
      </w:r>
    </w:p>
    <w:p>
      <w:pPr>
        <w:pStyle w:val="ListBullet"/>
      </w:pPr>
      <w:r>
        <w:t>Parole performative : menacer, dégrader, sacraliser, c’est déjà agir.</w:t>
      </w:r>
    </w:p>
    <w:p>
      <w:pPr>
        <w:pStyle w:val="ListBullet"/>
      </w:pPr>
      <w:r>
        <w:t>La répétition intensifie le désir d’en finir : le mot appelle l’issue.</w:t>
      </w:r>
    </w:p>
    <w:p>
      <w:pPr>
        <w:pStyle w:val="ListBullet"/>
      </w:pPr>
      <w:r>
        <w:t>L’excès verbal empêche le retour en arrière : les mots ont déjà transformé les personnages.</w:t>
      </w:r>
    </w:p>
    <w:p>
      <w:pPr>
        <w:pStyle w:val="Heading1"/>
      </w:pPr>
      <w:r>
        <w:t>Conclusion modèle</w:t>
      </w:r>
    </w:p>
    <w:p>
      <w:r>
        <w:t>Chez Genet, la phrase est une lame. Elle construit le pouvoir, reproduit la domination, divise les sœurs et pousse le jeu jusqu’à l’insoutenable. La parole est le véritable moteur dramatique : elle fait advenir la violence avant même l’acte.</w:t>
      </w:r>
    </w:p>
    <w:p>
      <w:pPr>
        <w:pStyle w:val="Heading2"/>
      </w:pPr>
      <w:r>
        <w:t>Ouverture possible</w:t>
      </w:r>
    </w:p>
    <w:p>
      <w:r>
        <w:t>On pourra élargir à la question de la “parole théâtrale” : dire au théâtre, est-ce toujours faire ?</w:t>
      </w:r>
    </w:p>
    <w:p>
      <w:pPr>
        <w:pStyle w:val="Heading1"/>
      </w:pPr>
      <w:r>
        <w:t>Notes personnelles</w:t>
      </w:r>
    </w:p>
    <w:p>
      <w:r>
        <w:t>• …</w:t>
      </w:r>
    </w:p>
    <w:p>
      <w:r>
        <w:t>• …</w:t>
      </w:r>
    </w:p>
    <w:p>
      <w:r>
        <w:t>• …</w:t>
      </w:r>
    </w:p>
    <w:sectPr w:rsidR="00FC693F" w:rsidRPr="0006063C" w:rsidSect="00034616">
      <w:footerReference w:type="default" r:id="rId9"/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20" w:line="240" w:lineRule="auto"/>
    </w:pPr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240" w:after="120"/>
      <w:outlineLvl w:val="0"/>
    </w:pPr>
    <w:rPr>
      <w:rFonts w:asciiTheme="majorHAnsi" w:eastAsiaTheme="majorEastAsia" w:hAnsiTheme="majorHAnsi" w:cstheme="majorBidi" w:ascii="Calibri" w:hAnsi="Calibri"/>
      <w:b/>
      <w:bCs/>
      <w:color w:val="0F3D3E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40" w:after="120"/>
      <w:outlineLvl w:val="1"/>
    </w:pPr>
    <w:rPr>
      <w:rFonts w:asciiTheme="majorHAnsi" w:eastAsiaTheme="majorEastAsia" w:hAnsiTheme="majorHAnsi" w:cstheme="majorBidi" w:ascii="Calibri" w:hAnsi="Calibri"/>
      <w:b/>
      <w:bCs/>
      <w:color w:val="0F3D3E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40" w:after="120"/>
      <w:outlineLvl w:val="2"/>
    </w:pPr>
    <w:rPr>
      <w:rFonts w:asciiTheme="majorHAnsi" w:eastAsiaTheme="majorEastAsia" w:hAnsiTheme="majorHAnsi" w:cstheme="majorBidi" w:ascii="Calibri" w:hAnsi="Calibri"/>
      <w:b/>
      <w:bCs/>
      <w:color w:val="0F3D3E"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LCGTitle">
    <w:name w:val="LCG Title"/>
    <w:basedOn w:val="Title"/>
    <w:pPr>
      <w:spacing w:after="120"/>
    </w:pPr>
    <w:rPr>
      <w:rFonts w:ascii="Calibri" w:hAnsi="Calibri"/>
      <w:b/>
      <w:color w:val="FFFFFF"/>
      <w:sz w:val="52"/>
    </w:rPr>
  </w:style>
  <w:style w:type="paragraph" w:customStyle="1" w:styleId="LCGSubtitle">
    <w:name w:val="LCG Subtitle"/>
    <w:basedOn w:val="Subtitle"/>
    <w:pPr>
      <w:spacing w:after="0"/>
    </w:pPr>
    <w:rPr>
      <w:rFonts w:ascii="Calibri" w:hAnsi="Calibri"/>
      <w:color w:val="E6F5F4"/>
      <w:sz w:val="2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