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autofit"/>
        <w:tblLook w:firstColumn="1" w:firstRow="1" w:lastColumn="0" w:lastRow="0" w:noHBand="0" w:noVBand="1" w:val="04A0"/>
      </w:tblPr>
      <w:tblGrid>
        <w:gridCol w:w="9972"/>
      </w:tblGrid>
      <w:tr>
        <w:tc>
          <w:tcPr>
            <w:tcW w:type="dxa" w:w="9972"/>
            <w:shd w:val="clear" w:color="auto" w:fill="0F3D3E"/>
            <w:vAlign w:val="center"/>
            <w:tcBorders>
              <w:start w:sz="0" w:val="nil" w:color="FFFFFF"/>
              <w:top w:sz="0" w:val="nil" w:color="FFFFFF"/>
              <w:end w:sz="0" w:val="nil" w:color="FFFFFF"/>
              <w:bottom w:sz="0" w:val="nil" w:color="FFFFFF"/>
            </w:tcBorders>
          </w:tcPr>
          <w:p>
            <w:pPr>
              <w:jc w:val="left"/>
            </w:pPr>
            <w:r>
              <w:rPr>
                <w:rFonts w:ascii="Calibri" w:hAnsi="Calibri"/>
                <w:b/>
                <w:color w:val="FFFFFF"/>
                <w:sz w:val="52"/>
              </w:rPr>
              <w:t>Les Bonnes - Jean Genet</w:t>
            </w:r>
          </w:p>
          <w:p>
            <w:pPr>
              <w:pStyle w:val="LCGSubtitle"/>
              <w:jc w:val="left"/>
            </w:pPr>
            <w:r>
              <w:t>Sujet type bac n°1 + plan détaillé corrigé</w:t>
            </w:r>
          </w:p>
          <w:p>
            <w:pPr>
              <w:jc w:val="left"/>
            </w:pPr>
            <w:r>
              <w:rPr>
                <w:rFonts w:ascii="Calibri" w:hAnsi="Calibri"/>
                <w:color w:val="DCEBEA"/>
                <w:sz w:val="20"/>
              </w:rPr>
              <w:t>Fiches de révision - dissertation / commentaire composé</w:t>
            </w:r>
          </w:p>
          <w:p>
            <w:pPr>
              <w:jc w:val="left"/>
            </w:pPr>
            <w:r>
              <w:rPr>
                <w:rFonts w:ascii="Calibri" w:hAnsi="Calibri"/>
                <w:color w:val="DCEBEA"/>
                <w:sz w:val="20"/>
              </w:rPr>
              <w:t>Document prêt à imprimer et à annoter</w:t>
            </w:r>
          </w:p>
        </w:tc>
      </w:tr>
    </w:tbl>
    <w:p/>
    <w:tbl>
      <w:tblPr>
        <w:tblW w:type="auto" w:w="0"/>
        <w:jc w:val="center"/>
        <w:tblLook w:firstColumn="1" w:firstRow="1" w:lastColumn="0" w:lastRow="0" w:noHBand="0" w:noVBand="1" w:val="04A0"/>
      </w:tblPr>
      <w:tblGrid>
        <w:gridCol w:w="9972"/>
      </w:tblGrid>
      <w:tr>
        <w:tc>
          <w:tcPr>
            <w:tcW w:type="dxa" w:w="9972"/>
            <w:shd w:val="clear" w:color="auto" w:fill="E9F4F3"/>
            <w:tcBorders>
              <w:start w:sz="8" w:val="single" w:color="0F3D3E"/>
              <w:top w:sz="8" w:val="single" w:color="0F3D3E"/>
              <w:end w:sz="8" w:val="single" w:color="0F3D3E"/>
              <w:bottom w:sz="8" w:val="single" w:color="0F3D3E"/>
            </w:tcBorders>
          </w:tcPr>
          <w:p>
            <w:r>
              <w:rPr>
                <w:b/>
                <w:color w:val="0F3D3E"/>
                <w:sz w:val="24"/>
              </w:rPr>
              <w:t>À faire avant d’écrire (méthode express)</w:t>
            </w:r>
          </w:p>
          <w:p>
            <w:pPr>
              <w:pStyle w:val="ListBullet"/>
            </w:pPr>
            <w:r>
              <w:rPr>
                <w:rFonts w:ascii="Calibri" w:hAnsi="Calibri"/>
                <w:sz w:val="22"/>
              </w:rPr>
              <w:t>Reformule le sujet avec tes mots : qu’est-ce qu’on te demande exactement ?</w:t>
            </w:r>
          </w:p>
          <w:p>
            <w:pPr>
              <w:pStyle w:val="ListBullet"/>
            </w:pPr>
            <w:r>
              <w:rPr>
                <w:rFonts w:ascii="Calibri" w:hAnsi="Calibri"/>
                <w:sz w:val="22"/>
              </w:rPr>
              <w:t>Formule une problématique (une vraie question qui ouvre un débat).</w:t>
            </w:r>
          </w:p>
          <w:p>
            <w:pPr>
              <w:pStyle w:val="ListBullet"/>
            </w:pPr>
            <w:r>
              <w:rPr>
                <w:rFonts w:ascii="Calibri" w:hAnsi="Calibri"/>
                <w:sz w:val="22"/>
              </w:rPr>
              <w:t>Annonce un plan progressif : chaque partie doit répondre à la problématique.</w:t>
            </w:r>
          </w:p>
          <w:p>
            <w:pPr>
              <w:pStyle w:val="ListBullet"/>
            </w:pPr>
            <w:r>
              <w:rPr>
                <w:rFonts w:ascii="Calibri" w:hAnsi="Calibri"/>
                <w:sz w:val="22"/>
              </w:rPr>
              <w:t>Dans chaque sous-partie, pense : idée + explication + repère de scène / procédé.</w:t>
            </w:r>
          </w:p>
        </w:tc>
      </w:tr>
    </w:tbl>
    <w:p/>
    <w:p>
      <w:pPr>
        <w:pStyle w:val="Heading1"/>
      </w:pPr>
      <w:r>
        <w:t>Sujet</w:t>
      </w:r>
    </w:p>
    <w:p>
      <w:r>
        <w:rPr>
          <w:b/>
        </w:rPr>
        <w:t>En quoi le théâtre dans le théâtre renforce-t-il la dimension tragique de Les Bonnes ?</w:t>
      </w:r>
    </w:p>
    <w:p>
      <w:pPr>
        <w:pStyle w:val="Heading2"/>
      </w:pPr>
      <w:r>
        <w:t>Reformulation</w:t>
      </w:r>
    </w:p>
    <w:p>
      <w:r>
        <w:t>Comment le jeu de rôle, l’imitation et la mise en abyme transforment-ils la pièce en tragédie ?</w:t>
      </w:r>
    </w:p>
    <w:p>
      <w:pPr>
        <w:pStyle w:val="Heading2"/>
      </w:pPr>
      <w:r>
        <w:t>Problématique possible</w:t>
      </w:r>
    </w:p>
    <w:p>
      <w:r>
        <w:t>Le théâtre dans le théâtre semble offrir un espace de liberté aux bonnes. Pourtant, ne devient-il pas le mécanisme même de leur enfermement, jusqu’au basculement tragique ?</w:t>
      </w:r>
    </w:p>
    <w:p>
      <w:pPr>
        <w:pStyle w:val="Heading1"/>
      </w:pPr>
      <w:r>
        <w:t>Plan détaillé (corrigé)</w:t>
      </w:r>
    </w:p>
    <w:p>
      <w:pPr>
        <w:pStyle w:val="Heading2"/>
      </w:pPr>
      <w:r>
        <w:t>I. Une illusion de puissance : le jeu comme renversement provisoire</w:t>
      </w:r>
    </w:p>
    <w:p>
      <w:pPr>
        <w:pStyle w:val="ListBullet"/>
      </w:pPr>
      <w:r>
        <w:t>Le décor (la chambre) devient scène privée : Madame absente, les bonnes installent leurs règles.</w:t>
      </w:r>
    </w:p>
    <w:p>
      <w:pPr>
        <w:pStyle w:val="ListBullet"/>
      </w:pPr>
      <w:r>
        <w:t>Le costume et les objets de Madame créent une autorité d’emprunt : porter, c’est “devenir”.</w:t>
      </w:r>
    </w:p>
    <w:p>
      <w:pPr>
        <w:pStyle w:val="ListBullet"/>
      </w:pPr>
      <w:r>
        <w:t>La cérémonie donne le sentiment de maîtriser l’action : répéter, c’est croire préparer l’acte.</w:t>
      </w:r>
    </w:p>
    <w:p>
      <w:pPr>
        <w:pStyle w:val="Heading2"/>
      </w:pPr>
      <w:r>
        <w:t>II. Un piège : le jeu reproduit la domination au lieu de l’abolir</w:t>
      </w:r>
    </w:p>
    <w:p>
      <w:pPr>
        <w:pStyle w:val="ListBullet"/>
      </w:pPr>
      <w:r>
        <w:t>Imiter Madame, c’est encore parler sa langue : ordres, humiliations, poses, codes sociaux.</w:t>
      </w:r>
    </w:p>
    <w:p>
      <w:pPr>
        <w:pStyle w:val="ListBullet"/>
      </w:pPr>
      <w:r>
        <w:t>La fascination contamine la révolte : Madame devient nécessaire, même absente.</w:t>
      </w:r>
    </w:p>
    <w:p>
      <w:pPr>
        <w:pStyle w:val="ListBullet"/>
      </w:pPr>
      <w:r>
        <w:t>La répétition intensifie la tension : le rituel exalte, il n’apaise pas.</w:t>
      </w:r>
    </w:p>
    <w:p>
      <w:pPr>
        <w:pStyle w:val="Heading2"/>
      </w:pPr>
      <w:r>
        <w:t>III. Le tragique : quand la représentation déborde et rend le réel impossible</w:t>
      </w:r>
    </w:p>
    <w:p>
      <w:pPr>
        <w:pStyle w:val="ListBullet"/>
      </w:pPr>
      <w:r>
        <w:t>Au moment où l’acte devrait advenir, le réel résiste : l’action ne se commande pas comme une scène.</w:t>
      </w:r>
    </w:p>
    <w:p>
      <w:pPr>
        <w:pStyle w:val="ListBullet"/>
      </w:pPr>
      <w:r>
        <w:t>Après le masque, redevenir “bonne” devient insupportable : l’identité se fissure.</w:t>
      </w:r>
    </w:p>
    <w:p>
      <w:pPr>
        <w:pStyle w:val="ListBullet"/>
      </w:pPr>
      <w:r>
        <w:t>Le théâtre avale la vie : l’issue tragique apparaît comme la fermeture du rituel sur lui-même.</w:t>
      </w:r>
    </w:p>
    <w:p>
      <w:pPr>
        <w:pStyle w:val="Heading1"/>
      </w:pPr>
      <w:r>
        <w:t>Conclusion modèle</w:t>
      </w:r>
    </w:p>
    <w:p>
      <w:r>
        <w:t>Le théâtre dans le théâtre n’est pas un simple procédé. Il révèle que le pouvoir est une mise en scène, mais il montre aussi que l’imitation peut devenir une prison. En jouant Madame, les bonnes la renforcent autant qu’elles la combattent : la tragédie naît de cette impasse.</w:t>
      </w:r>
    </w:p>
    <w:p>
      <w:pPr>
        <w:pStyle w:val="Heading2"/>
      </w:pPr>
      <w:r>
        <w:t>Ouverture possible</w:t>
      </w:r>
    </w:p>
    <w:p>
      <w:r>
        <w:t>On peut comparer cette logique du masque à d’autres œuvres où la représentation révèle l’aliénation plutôt qu’elle ne délivre.</w:t>
      </w:r>
    </w:p>
    <w:p>
      <w:pPr>
        <w:pStyle w:val="Heading1"/>
      </w:pPr>
      <w:r>
        <w:t>Notes personnelles</w:t>
      </w:r>
    </w:p>
    <w:p>
      <w:r>
        <w:t>• …</w:t>
      </w:r>
    </w:p>
    <w:p>
      <w:r>
        <w:t>• …</w:t>
      </w:r>
    </w:p>
    <w:p>
      <w:r>
        <w:t>• …</w:t>
      </w:r>
    </w:p>
    <w:sectPr w:rsidR="00FC693F" w:rsidRPr="0006063C" w:rsidSect="00034616">
      <w:footerReference w:type="default" r:id="rId9"/>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40" w:lineRule="auto"/>
    </w:pPr>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40" w:after="120"/>
      <w:outlineLvl w:val="0"/>
    </w:pPr>
    <w:rPr>
      <w:rFonts w:asciiTheme="majorHAnsi" w:eastAsiaTheme="majorEastAsia" w:hAnsiTheme="majorHAnsi" w:cstheme="majorBidi" w:ascii="Calibri" w:hAnsi="Calibri"/>
      <w:b/>
      <w:bCs/>
      <w:color w:val="0F3D3E"/>
      <w:sz w:val="32"/>
      <w:szCs w:val="28"/>
    </w:rPr>
  </w:style>
  <w:style w:type="paragraph" w:styleId="Heading2">
    <w:name w:val="heading 2"/>
    <w:basedOn w:val="Normal"/>
    <w:next w:val="Normal"/>
    <w:link w:val="Heading2Char"/>
    <w:uiPriority w:val="9"/>
    <w:unhideWhenUsed/>
    <w:qFormat/>
    <w:rsid w:val="00FC693F"/>
    <w:pPr>
      <w:keepNext/>
      <w:keepLines/>
      <w:spacing w:before="240" w:after="120"/>
      <w:outlineLvl w:val="1"/>
    </w:pPr>
    <w:rPr>
      <w:rFonts w:asciiTheme="majorHAnsi" w:eastAsiaTheme="majorEastAsia" w:hAnsiTheme="majorHAnsi" w:cstheme="majorBidi" w:ascii="Calibri" w:hAnsi="Calibri"/>
      <w:b/>
      <w:bCs/>
      <w:color w:val="0F3D3E"/>
      <w:sz w:val="26"/>
      <w:szCs w:val="26"/>
    </w:rPr>
  </w:style>
  <w:style w:type="paragraph" w:styleId="Heading3">
    <w:name w:val="heading 3"/>
    <w:basedOn w:val="Normal"/>
    <w:next w:val="Normal"/>
    <w:link w:val="Heading3Char"/>
    <w:uiPriority w:val="9"/>
    <w:unhideWhenUsed/>
    <w:qFormat/>
    <w:rsid w:val="00FC693F"/>
    <w:pPr>
      <w:keepNext/>
      <w:keepLines/>
      <w:spacing w:before="240" w:after="120"/>
      <w:outlineLvl w:val="2"/>
    </w:pPr>
    <w:rPr>
      <w:rFonts w:asciiTheme="majorHAnsi" w:eastAsiaTheme="majorEastAsia" w:hAnsiTheme="majorHAnsi" w:cstheme="majorBidi" w:ascii="Calibri" w:hAnsi="Calibri"/>
      <w:b/>
      <w:bCs/>
      <w:color w:val="0F3D3E"/>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LCGTitle">
    <w:name w:val="LCG Title"/>
    <w:basedOn w:val="Title"/>
    <w:pPr>
      <w:spacing w:after="120"/>
    </w:pPr>
    <w:rPr>
      <w:rFonts w:ascii="Calibri" w:hAnsi="Calibri"/>
      <w:b/>
      <w:color w:val="FFFFFF"/>
      <w:sz w:val="52"/>
    </w:rPr>
  </w:style>
  <w:style w:type="paragraph" w:customStyle="1" w:styleId="LCGSubtitle">
    <w:name w:val="LCG Subtitle"/>
    <w:basedOn w:val="Subtitle"/>
    <w:pPr>
      <w:spacing w:after="0"/>
    </w:pPr>
    <w:rPr>
      <w:rFonts w:ascii="Calibri" w:hAnsi="Calibri"/>
      <w:color w:val="E6F5F4"/>
      <w:sz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