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1F4E79"/>
            <w:tcMar>
              <w:top w:w="140" w:type="dxa"/>
              <w:start w:w="220" w:type="dxa"/>
              <w:bottom w:w="140" w:type="dxa"/>
              <w:end w:w="22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OFFRE D’ACHAT IMMOBILIER</w:t>
            </w:r>
          </w:p>
          <w:p>
            <w:pPr>
              <w:jc w:val="center"/>
            </w:pPr>
            <w:r>
              <w:rPr>
                <w:color w:val="E6F0FF"/>
                <w:sz w:val="20"/>
              </w:rPr>
              <w:t>Exemple prérempli – France (à adapter selon votre situation)</w:t>
            </w:r>
          </w:p>
        </w:tc>
      </w:tr>
    </w:tbl>
    <w:p/>
    <w:p>
      <w:pPr>
        <w:spacing w:before="0" w:after="200" w:line="276" w:lineRule="auto"/>
      </w:pPr>
      <w:r>
        <w:t>Je soussigné(e), ci-après désigné(e) « l’Acquéreur », formule la présente offre d’achat ferme et irrévocable, sous les conditions ci-dessous, en vue de l’acquisition du bien immobilier décrit ci-après.</w:t>
      </w:r>
    </w:p>
    <w:p>
      <w:pPr>
        <w:spacing w:before="200" w:after="80" w:line="264" w:lineRule="auto"/>
      </w:pPr>
      <w:r>
        <w:rPr>
          <w:b/>
          <w:color w:val="1F4E79"/>
          <w:sz w:val="24"/>
        </w:rPr>
        <w:t>1) Identité des parties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  <w:insideH w:val="single" w:sz="8" w:space="0" w:color="D9D9D9"/>
          <w:insideV w:val="single" w:sz="8" w:space="0" w:color="D9D9D9"/>
        </w:tblBorders>
      </w:tblPr>
      <w:tblGrid>
        <w:gridCol w:w="2381"/>
        <w:gridCol w:w="7257"/>
      </w:tblGrid>
      <w:tr>
        <w:tc>
          <w:tcPr>
            <w:tcW w:type="dxa" w:w="4819"/>
            <w:vAlign w:val="center"/>
          </w:tcPr>
          <w:p>
            <w:r>
              <w:rPr>
                <w:b/>
              </w:rPr>
              <w:t>Acquéreur</w:t>
            </w:r>
          </w:p>
        </w:tc>
        <w:tc>
          <w:tcPr>
            <w:tcW w:type="dxa" w:w="4819"/>
          </w:tcPr>
          <w:p>
            <w:r>
              <w:t>Claire MARTIN, née le 14/02/1991 à Grenoble (38), et Julien BERNARD, né le 09/06/1989 à Annecy (74), demeurant 21 rue Paul-Bert, 69003 Lyon. Tél. 06 12 34 56 78 – Email : claire.martin@example.fr</w:t>
            </w:r>
          </w:p>
        </w:tc>
      </w:tr>
      <w:tr>
        <w:tc>
          <w:tcPr>
            <w:tcW w:type="dxa" w:w="4819"/>
            <w:vAlign w:val="center"/>
          </w:tcPr>
          <w:p>
            <w:r>
              <w:rPr>
                <w:b/>
              </w:rPr>
              <w:t>Vendeur</w:t>
            </w:r>
          </w:p>
        </w:tc>
        <w:tc>
          <w:tcPr>
            <w:tcW w:type="dxa" w:w="4819"/>
          </w:tcPr>
          <w:p>
            <w:r>
              <w:t>Madame Sophie DURAND, née le 03/11/1977 à Lyon (69), demeurant 8 quai Fulchiron, 69005 Lyon.</w:t>
            </w:r>
          </w:p>
        </w:tc>
      </w:tr>
    </w:tbl>
    <w:p/>
    <w:p>
      <w:pPr>
        <w:spacing w:before="200" w:after="80" w:line="264" w:lineRule="auto"/>
      </w:pPr>
      <w:r>
        <w:rPr>
          <w:b/>
          <w:color w:val="1F4E79"/>
          <w:sz w:val="24"/>
        </w:rPr>
        <w:t>2) Désignation du bien immobilier</w:t>
      </w:r>
    </w:p>
    <w:p>
      <w:pPr>
        <w:spacing w:before="0" w:after="160" w:line="276" w:lineRule="auto"/>
      </w:pPr>
      <w:r>
        <w:rPr>
          <w:b/>
        </w:rPr>
        <w:t xml:space="preserve">Adresse : </w:t>
      </w:r>
      <w:r>
        <w:t>14 rue de la Villette, 69003 Lyon.</w:t>
        <w:br/>
      </w:r>
      <w:r>
        <w:rPr>
          <w:b/>
        </w:rPr>
        <w:t xml:space="preserve">Type : </w:t>
      </w:r>
      <w:r>
        <w:t>Appartement T3 en copropriété – 68,40 m² (loi Carrez) – 3e étage avec ascenseur.</w:t>
        <w:br/>
      </w:r>
      <w:r>
        <w:rPr>
          <w:b/>
        </w:rPr>
        <w:t xml:space="preserve">Annexes : </w:t>
      </w:r>
      <w:r>
        <w:t>Cave n°C12 et place de parking n°P18 en sous-sol.</w:t>
        <w:br/>
      </w:r>
      <w:r>
        <w:rPr>
          <w:b/>
        </w:rPr>
        <w:t xml:space="preserve">Références cadastrales (indicatives) : </w:t>
      </w:r>
      <w:r>
        <w:t>Section AB – Parcelle 124.</w:t>
        <w:br/>
      </w:r>
      <w:r>
        <w:rPr>
          <w:b/>
        </w:rPr>
        <w:t xml:space="preserve">Destination : </w:t>
      </w:r>
      <w:r>
        <w:t>Résidence principale.</w:t>
      </w:r>
    </w:p>
    <w:p>
      <w:pPr>
        <w:spacing w:before="40" w:after="120" w:line="264" w:lineRule="auto"/>
      </w:pPr>
      <w:r>
        <w:rPr>
          <w:color w:val="505050"/>
          <w:sz w:val="18"/>
        </w:rPr>
        <w:t>Remarque : les éléments (surface, lot(s), références) seront confirmés dans le compromis de vente et l’état descriptif de division.</w:t>
      </w:r>
    </w:p>
    <w:p>
      <w:pPr>
        <w:spacing w:before="200" w:after="80" w:line="264" w:lineRule="auto"/>
      </w:pPr>
      <w:r>
        <w:rPr>
          <w:b/>
          <w:color w:val="1F4E79"/>
          <w:sz w:val="24"/>
        </w:rPr>
        <w:t>3) Prix proposé et modalités financières</w:t>
      </w:r>
    </w:p>
    <w:p>
      <w:pPr>
        <w:spacing w:before="0" w:after="160" w:line="276" w:lineRule="auto"/>
      </w:pPr>
      <w:r>
        <w:rPr>
          <w:b/>
        </w:rPr>
        <w:t xml:space="preserve">Prix total proposé (FAI) : </w:t>
      </w:r>
      <w:r>
        <w:t>315 000 € (trois cent quinze mille euros).</w:t>
        <w:br/>
      </w:r>
      <w:r>
        <w:rPr>
          <w:b/>
        </w:rPr>
        <w:t xml:space="preserve">Détail indicatif : </w:t>
      </w:r>
      <w:r>
        <w:t>Prix net vendeur 300 000 € + honoraires d’agence 15 000 € TTC.</w:t>
        <w:br/>
      </w:r>
      <w:r>
        <w:rPr>
          <w:b/>
        </w:rPr>
        <w:t xml:space="preserve">Modalité de paiement : </w:t>
      </w:r>
      <w:r>
        <w:t>Financement par prêt immobilier et apport personnel (voir ci-dessous).</w:t>
      </w:r>
    </w:p>
    <w:p>
      <w:pPr>
        <w:spacing w:before="0" w:after="200" w:line="276" w:lineRule="auto"/>
      </w:pPr>
      <w:r>
        <w:t>Un séquestre (indemnité d’immobilisation) équivalent à 5 % du prix sera versé lors de la signature du compromis de vente, entre les mains du notaire (ou sur le compte séquestre prévu à cet effet).</w:t>
      </w:r>
    </w:p>
    <w:p>
      <w:pPr>
        <w:spacing w:before="200" w:after="80" w:line="264" w:lineRule="auto"/>
      </w:pPr>
      <w:r>
        <w:rPr>
          <w:b/>
          <w:color w:val="1F4E79"/>
          <w:sz w:val="24"/>
        </w:rPr>
        <w:t>4) Conditions suspensives (financement et vérifications)</w:t>
      </w:r>
    </w:p>
    <w:p>
      <w:pPr>
        <w:spacing w:before="0" w:after="160" w:line="276" w:lineRule="auto"/>
      </w:pPr>
      <w:r>
        <w:rPr>
          <w:b/>
        </w:rPr>
        <w:t xml:space="preserve">[X] </w:t>
      </w:r>
      <w:r>
        <w:t>La présente offre est soumise à l’obtention d’un prêt immobilier.</w:t>
        <w:br/>
      </w:r>
      <w:r>
        <w:rPr>
          <w:b/>
        </w:rPr>
        <w:t xml:space="preserve">Montant du prêt : </w:t>
      </w:r>
      <w:r>
        <w:t>250 000 €.</w:t>
        <w:br/>
      </w:r>
      <w:r>
        <w:rPr>
          <w:b/>
        </w:rPr>
        <w:t xml:space="preserve">Durée maximale : </w:t>
      </w:r>
      <w:r>
        <w:t>25 ans.</w:t>
        <w:br/>
      </w:r>
      <w:r>
        <w:rPr>
          <w:b/>
        </w:rPr>
        <w:t xml:space="preserve">Taux nominal maximal (hors assurance) : </w:t>
      </w:r>
      <w:r>
        <w:t>4,20 %.</w:t>
        <w:br/>
      </w:r>
      <w:r>
        <w:rPr>
          <w:b/>
        </w:rPr>
        <w:t xml:space="preserve">Délai d’obtention : </w:t>
      </w:r>
      <w:r>
        <w:t>45 jours à compter de la signature du compromis de vente.</w:t>
        <w:br/>
      </w:r>
      <w:r>
        <w:rPr>
          <w:b/>
        </w:rPr>
        <w:t xml:space="preserve">En cas de refus de prêt : </w:t>
      </w:r>
      <w:r>
        <w:t>l’Acquéreur s’engage à justifier, sur demande, de démarches effectives auprès d’établissements bancaires.</w:t>
      </w:r>
    </w:p>
    <w:p>
      <w:pPr>
        <w:spacing w:before="0" w:after="200" w:line="276" w:lineRule="auto"/>
      </w:pPr>
      <w:r>
        <w:t>Autres vérifications usuelles (à intégrer au compromis) : absence de droit de préemption urbain, situation hypothécaire purgeable, conformité des diagnostics obligatoires, état de la copropriété (charges, travaux votés, procédures), et absence de servitudes non déclarées.</w:t>
      </w:r>
    </w:p>
    <w:p>
      <w:pPr>
        <w:spacing w:before="200" w:after="80" w:line="264" w:lineRule="auto"/>
      </w:pPr>
      <w:r>
        <w:rPr>
          <w:b/>
          <w:color w:val="1F4E79"/>
          <w:sz w:val="24"/>
        </w:rPr>
        <w:t>5) Durée de validité – Acceptation</w:t>
      </w:r>
    </w:p>
    <w:p>
      <w:pPr>
        <w:spacing w:before="0" w:after="120" w:line="276" w:lineRule="auto"/>
      </w:pPr>
      <w:r>
        <w:rPr>
          <w:b/>
        </w:rPr>
        <w:t xml:space="preserve">Validité de l’offre : </w:t>
      </w:r>
      <w:r>
        <w:t>10 jours calendaires.</w:t>
        <w:br/>
      </w:r>
      <w:r>
        <w:rPr>
          <w:b/>
        </w:rPr>
        <w:t xml:space="preserve">Date limite d’acceptation : </w:t>
      </w:r>
      <w:r>
        <w:t>07/01/2026 à 20h00.</w:t>
        <w:br/>
      </w:r>
      <w:r>
        <w:rPr>
          <w:b/>
        </w:rPr>
        <w:t xml:space="preserve">Mode d’acceptation : </w:t>
      </w:r>
      <w:r>
        <w:t>acceptation écrite datée et signée par le Vendeur, retournée à l’Acquéreur et/ou à l’agence (email + original).</w:t>
      </w:r>
    </w:p>
    <w:p>
      <w:pPr>
        <w:spacing w:before="40" w:after="200" w:line="264" w:lineRule="auto"/>
      </w:pPr>
      <w:r>
        <w:rPr>
          <w:color w:val="505050"/>
          <w:sz w:val="18"/>
        </w:rPr>
        <w:t>À défaut d’acceptation écrite dans le délai ci-dessus, l’offre sera réputée caduque.</w:t>
      </w:r>
    </w:p>
    <w:p>
      <w:pPr>
        <w:spacing w:before="200" w:after="80" w:line="264" w:lineRule="auto"/>
      </w:pPr>
      <w:r>
        <w:rPr>
          <w:b/>
          <w:color w:val="1F4E79"/>
          <w:sz w:val="24"/>
        </w:rPr>
        <w:t>6) Calendrier indicatif et conditions de libération</w:t>
      </w:r>
    </w:p>
    <w:p>
      <w:pPr>
        <w:spacing w:before="0" w:after="200" w:line="276" w:lineRule="auto"/>
      </w:pPr>
      <w:r>
        <w:rPr>
          <w:b/>
        </w:rPr>
        <w:t xml:space="preserve">Compromis / promesse de vente : </w:t>
      </w:r>
      <w:r>
        <w:t>signature souhaitée au plus tard le 25/01/2026.</w:t>
        <w:br/>
      </w:r>
      <w:r>
        <w:rPr>
          <w:b/>
        </w:rPr>
        <w:t xml:space="preserve">Acte authentique : </w:t>
      </w:r>
      <w:r>
        <w:t>signature envisagée au plus tard le 31/03/2026 (selon délais de financement).</w:t>
        <w:br/>
      </w:r>
      <w:r>
        <w:rPr>
          <w:b/>
        </w:rPr>
        <w:t xml:space="preserve">Occupation : </w:t>
      </w:r>
      <w:r>
        <w:t>le bien sera vendu libre de toute occupation le jour de l’acte authentique, avec remise des clés à cette date.</w:t>
        <w:br/>
      </w:r>
      <w:r>
        <w:rPr>
          <w:b/>
        </w:rPr>
        <w:t xml:space="preserve">Mobilier : </w:t>
      </w:r>
      <w:r>
        <w:t>aucun mobilier n’est inclus dans le prix, sauf accord écrit contraire au compromis.</w:t>
      </w:r>
    </w:p>
    <w:p>
      <w:pPr>
        <w:spacing w:before="200" w:after="80" w:line="264" w:lineRule="auto"/>
      </w:pPr>
      <w:r>
        <w:rPr>
          <w:b/>
          <w:color w:val="1F4E79"/>
          <w:sz w:val="24"/>
        </w:rPr>
        <w:t>7) Intervenants pressentis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D9D9D9"/>
          <w:left w:val="single" w:sz="8" w:space="0" w:color="D9D9D9"/>
          <w:bottom w:val="single" w:sz="8" w:space="0" w:color="D9D9D9"/>
          <w:right w:val="single" w:sz="8" w:space="0" w:color="D9D9D9"/>
          <w:insideH w:val="single" w:sz="8" w:space="0" w:color="D9D9D9"/>
          <w:insideV w:val="single" w:sz="8" w:space="0" w:color="D9D9D9"/>
        </w:tblBorders>
      </w:tblPr>
      <w:tblGrid>
        <w:gridCol w:w="2381"/>
        <w:gridCol w:w="7257"/>
      </w:tblGrid>
      <w:tr>
        <w:tc>
          <w:tcPr>
            <w:tcW w:type="dxa" w:w="4819"/>
          </w:tcPr>
          <w:p>
            <w:r>
              <w:rPr>
                <w:b/>
              </w:rPr>
              <w:t>Agence</w:t>
            </w:r>
          </w:p>
        </w:tc>
        <w:tc>
          <w:tcPr>
            <w:tcW w:type="dxa" w:w="4819"/>
          </w:tcPr>
          <w:p>
            <w:r>
              <w:t>Rhône Habitat Immobilier – 5 cours Lafayette, 69006 Lyon</w:t>
              <w:br/>
              <w:t>Tél. 04.78.00.00.00.</w:t>
            </w:r>
          </w:p>
        </w:tc>
      </w:tr>
      <w:tr>
        <w:tc>
          <w:tcPr>
            <w:tcW w:type="dxa" w:w="4819"/>
          </w:tcPr>
          <w:p>
            <w:r>
              <w:rPr>
                <w:b/>
              </w:rPr>
              <w:t>Notaire</w:t>
            </w:r>
          </w:p>
        </w:tc>
        <w:tc>
          <w:tcPr>
            <w:tcW w:type="dxa" w:w="4819"/>
          </w:tcPr>
          <w:p>
            <w:r>
              <w:t>Me Antoine LEFÈVRE, Notaire – 12 place Bellecour, 69002 Lyon.</w:t>
            </w:r>
          </w:p>
        </w:tc>
      </w:tr>
    </w:tbl>
    <w:p/>
    <w:p>
      <w:pPr>
        <w:spacing w:before="200" w:after="80" w:line="264" w:lineRule="auto"/>
      </w:pPr>
      <w:r>
        <w:rPr>
          <w:b/>
          <w:color w:val="1F4E79"/>
          <w:sz w:val="24"/>
        </w:rPr>
        <w:t>8) Fait pour servir et valoir ce que de droit</w:t>
      </w:r>
    </w:p>
    <w:p>
      <w:pPr>
        <w:spacing w:before="0" w:after="200" w:line="276" w:lineRule="auto"/>
      </w:pPr>
      <w:r>
        <w:t>Fait à Lyon, le 28 décembre 2025.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E6E6E6"/>
          <w:left w:val="single" w:sz="6" w:space="0" w:color="E6E6E6"/>
          <w:bottom w:val="single" w:sz="6" w:space="0" w:color="E6E6E6"/>
          <w:right w:val="single" w:sz="6" w:space="0" w:color="E6E6E6"/>
          <w:insideH w:val="single" w:sz="6" w:space="0" w:color="E6E6E6"/>
          <w:insideV w:val="single" w:sz="6" w:space="0" w:color="E6E6E6"/>
        </w:tblBorders>
      </w:tblPr>
      <w:tblGrid>
        <w:gridCol w:w="4819"/>
        <w:gridCol w:w="4819"/>
      </w:tblGrid>
      <w:tr>
        <w:tc>
          <w:tcPr>
            <w:tcW w:type="dxa" w:w="4819"/>
          </w:tcPr>
          <w:p>
            <w:r>
              <w:t>Signatures des Acquéreurs</w:t>
              <w:br/>
              <w:br/>
              <w:t>Claire MARTIN</w:t>
              <w:br/>
              <w:br/>
              <w:t>________________________</w:t>
              <w:br/>
              <w:br/>
              <w:t>Julien BERNARD</w:t>
              <w:br/>
              <w:br/>
              <w:t>________________________</w:t>
            </w:r>
          </w:p>
        </w:tc>
        <w:tc>
          <w:tcPr>
            <w:tcW w:type="dxa" w:w="4819"/>
          </w:tcPr>
          <w:p>
            <w:r>
              <w:t>Signature du Vendeur (acceptation)</w:t>
              <w:br/>
              <w:br/>
              <w:t>Sophie DURAND</w:t>
              <w:br/>
              <w:br/>
              <w:t>________________________</w:t>
            </w:r>
          </w:p>
        </w:tc>
      </w:tr>
    </w:tbl>
    <w:p>
      <w:pPr>
        <w:spacing w:before="160" w:after="0" w:line="264" w:lineRule="auto"/>
      </w:pPr>
      <w:r>
        <w:rPr>
          <w:color w:val="505050"/>
          <w:sz w:val="18"/>
        </w:rPr>
        <w:t>Note pratique : le délai légal de rétractation de 10 jours (CCH, art. L271-1) s’applique après signature du compromis ou de la promesse de vente et réception de la notification. Ce modèle est fourni à titre indicatif ; un notaire peut adapter les clauses à votre situation.</w:t>
      </w:r>
    </w:p>
    <w:sectPr w:rsidR="00FC693F" w:rsidRPr="0006063C" w:rsidSect="00034616">
      <w:footerReference w:type="default" r:id="rId9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  <w:p>
    <w:pPr>
      <w:jc w:val="center"/>
    </w:pPr>
    <w:r>
      <w:rPr>
        <w:color w:val="787878"/>
        <w:sz w:val="18"/>
      </w:rPr>
      <w:t xml:space="preserve">Page </w:t>
      <w:fldChar w:fldCharType="begin"/>
      <w:instrText xml:space="preserve">PAGE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