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10426"/>
      </w:tblGrid>
      <w:tr>
        <w:tc>
          <w:tcPr>
            <w:tcW w:type="dxa" w:w="10426"/>
            <w:shd w:val="clear" w:color="auto" w:fill="0B5394"/>
            <w:vAlign w:val="center"/>
            <w:tcBorders>
              <w:top w:val="nil" w:sz="10" w:space="0" w:color="B7B7B7"/>
              <w:bottom w:val="nil" w:sz="10" w:space="0" w:color="B7B7B7"/>
              <w:left w:val="nil" w:sz="10" w:space="0" w:color="B7B7B7"/>
              <w:right w:val="nil" w:sz="10" w:space="0" w:color="B7B7B7"/>
            </w:tcBorders>
          </w:tcPr>
          <w:p>
            <w:pPr>
              <w:spacing w:before="120" w:after="120" w:line="240" w:lineRule="auto"/>
              <w:jc w:val="center"/>
            </w:pPr>
            <w:r>
              <w:rPr>
                <w:rFonts w:ascii="Calibri" w:hAnsi="Calibri"/>
                <w:b/>
                <w:color w:val="FFFFFF"/>
                <w:sz w:val="36"/>
              </w:rPr>
              <w:t>Modèle 2 – Sujet amené, posé, divisé</w:t>
            </w:r>
          </w:p>
        </w:tc>
      </w:tr>
    </w:tbl>
    <w:p>
      <w:pPr>
        <w:spacing w:before="120" w:after="200" w:line="240" w:lineRule="auto"/>
        <w:jc w:val="center"/>
      </w:pPr>
      <w:r>
        <w:rPr>
          <w:i/>
          <w:color w:val="444444"/>
          <w:sz w:val="22"/>
        </w:rPr>
        <w:t>Introduction de dissertation / texte argumentatif – Version remplie + schéma (Canada)</w:t>
      </w:r>
    </w:p>
    <w:p>
      <w:pPr>
        <w:spacing w:before="240" w:after="120" w:line="240" w:lineRule="auto"/>
      </w:pPr>
      <w:r>
        <w:rPr>
          <w:b/>
          <w:color w:val="0B5394"/>
          <w:sz w:val="28"/>
        </w:rPr>
        <w:t>Schéma express (à mémoriser)</w:t>
      </w:r>
    </w:p>
    <w:tbl>
      <w:tblPr>
        <w:tblW w:type="auto" w:w="0"/>
        <w:jc w:val="center"/>
        <w:tblLayout w:type="autofit"/>
        <w:tblLook w:firstColumn="1" w:firstRow="1" w:lastColumn="0" w:lastRow="0" w:noHBand="0" w:noVBand="1" w:val="04A0"/>
      </w:tblPr>
      <w:tblGrid>
        <w:gridCol w:w="3475"/>
        <w:gridCol w:w="3475"/>
        <w:gridCol w:w="3475"/>
      </w:tblGrid>
      <w:tr>
        <w:tc>
          <w:tcPr>
            <w:tcW w:type="dxa" w:w="3475"/>
            <w:shd w:val="clear" w:color="auto" w:fill="D9E1F2"/>
            <w:tcBorders>
              <w:top w:val="single" w:sz="10" w:space="0" w:color="B7B7B7"/>
              <w:bottom w:val="single" w:sz="10" w:space="0" w:color="B7B7B7"/>
              <w:left w:val="single" w:sz="10" w:space="0" w:color="B7B7B7"/>
              <w:right w:val="single" w:sz="10" w:space="0" w:color="B7B7B7"/>
            </w:tcBorders>
            <w:vAlign w:val="top"/>
          </w:tcPr>
          <w:p>
            <w:pPr>
              <w:spacing w:before="0" w:after="80" w:line="240" w:lineRule="auto"/>
            </w:pPr>
            <w:r>
              <w:rPr>
                <w:b/>
                <w:color w:val="0B5394"/>
                <w:sz w:val="24"/>
              </w:rPr>
              <w:t>① SUJET AMENÉ</w:t>
            </w:r>
          </w:p>
          <w:p>
            <w:pPr>
              <w:pStyle w:val="ListBullet"/>
              <w:spacing w:before="0" w:after="0" w:line="276" w:lineRule="auto"/>
            </w:pPr>
            <w:r>
              <w:rPr>
                <w:sz w:val="21"/>
              </w:rPr>
              <w:t>Accroche + contexte général (2-3 phrases).</w:t>
            </w:r>
          </w:p>
          <w:p>
            <w:pPr>
              <w:pStyle w:val="ListBullet"/>
              <w:spacing w:before="0" w:after="0" w:line="276" w:lineRule="auto"/>
            </w:pPr>
            <w:r>
              <w:rPr>
                <w:sz w:val="21"/>
              </w:rPr>
              <w:t>Rester proche du thème, sans encore répondre.</w:t>
            </w:r>
          </w:p>
          <w:p>
            <w:pPr>
              <w:pStyle w:val="ListBullet"/>
              <w:spacing w:before="0" w:after="0" w:line="276" w:lineRule="auto"/>
            </w:pPr>
            <w:r>
              <w:rPr>
                <w:sz w:val="21"/>
              </w:rPr>
              <w:t>Aller du général vers le précis.</w:t>
            </w:r>
          </w:p>
          <w:p>
            <w:pPr>
              <w:spacing w:before="80" w:after="0" w:line="276" w:lineRule="auto"/>
            </w:pPr>
            <w:r>
              <w:rPr>
                <w:i/>
                <w:color w:val="333333"/>
                <w:sz w:val="21"/>
              </w:rPr>
              <w:t>Ex.: Aujourd’hui, les adolescents vivent connectés...</w:t>
            </w:r>
          </w:p>
        </w:tc>
        <w:tc>
          <w:tcPr>
            <w:tcW w:type="dxa" w:w="3475"/>
            <w:shd w:val="clear" w:color="auto" w:fill="D9E1F2"/>
            <w:tcBorders>
              <w:top w:val="single" w:sz="10" w:space="0" w:color="B7B7B7"/>
              <w:bottom w:val="single" w:sz="10" w:space="0" w:color="B7B7B7"/>
              <w:left w:val="single" w:sz="10" w:space="0" w:color="B7B7B7"/>
              <w:right w:val="single" w:sz="10" w:space="0" w:color="B7B7B7"/>
            </w:tcBorders>
            <w:vAlign w:val="top"/>
          </w:tcPr>
          <w:p>
            <w:pPr>
              <w:spacing w:before="0" w:after="80" w:line="240" w:lineRule="auto"/>
            </w:pPr>
            <w:r>
              <w:rPr>
                <w:b/>
                <w:color w:val="0B5394"/>
                <w:sz w:val="24"/>
              </w:rPr>
              <w:t>② SUJET POSÉ</w:t>
            </w:r>
          </w:p>
          <w:p>
            <w:pPr>
              <w:pStyle w:val="ListBullet"/>
              <w:spacing w:before="0" w:after="0" w:line="276" w:lineRule="auto"/>
            </w:pPr>
            <w:r>
              <w:rPr>
                <w:sz w:val="21"/>
              </w:rPr>
              <w:t>Formuler clairement le sujet (1 phrase).</w:t>
            </w:r>
          </w:p>
          <w:p>
            <w:pPr>
              <w:pStyle w:val="ListBullet"/>
              <w:spacing w:before="0" w:after="0" w:line="276" w:lineRule="auto"/>
            </w:pPr>
            <w:r>
              <w:rPr>
                <w:sz w:val="21"/>
              </w:rPr>
              <w:t>Nommer l’enjeu principal, sans digression.</w:t>
            </w:r>
          </w:p>
          <w:p>
            <w:pPr>
              <w:pStyle w:val="ListBullet"/>
              <w:spacing w:before="0" w:after="0" w:line="276" w:lineRule="auto"/>
            </w:pPr>
            <w:r>
              <w:rPr>
                <w:sz w:val="21"/>
              </w:rPr>
              <w:t>Option: annoncer une problématique.</w:t>
            </w:r>
          </w:p>
          <w:p>
            <w:pPr>
              <w:spacing w:before="80" w:after="0" w:line="276" w:lineRule="auto"/>
            </w:pPr>
            <w:r>
              <w:rPr>
                <w:i/>
                <w:color w:val="333333"/>
                <w:sz w:val="21"/>
              </w:rPr>
              <w:t>Ex.: On peut donc se demander si...</w:t>
            </w:r>
          </w:p>
        </w:tc>
        <w:tc>
          <w:tcPr>
            <w:tcW w:type="dxa" w:w="3475"/>
            <w:shd w:val="clear" w:color="auto" w:fill="D9E1F2"/>
            <w:tcBorders>
              <w:top w:val="single" w:sz="10" w:space="0" w:color="B7B7B7"/>
              <w:bottom w:val="single" w:sz="10" w:space="0" w:color="B7B7B7"/>
              <w:left w:val="single" w:sz="10" w:space="0" w:color="B7B7B7"/>
              <w:right w:val="single" w:sz="10" w:space="0" w:color="B7B7B7"/>
            </w:tcBorders>
            <w:vAlign w:val="top"/>
          </w:tcPr>
          <w:p>
            <w:pPr>
              <w:spacing w:before="0" w:after="80" w:line="240" w:lineRule="auto"/>
            </w:pPr>
            <w:r>
              <w:rPr>
                <w:b/>
                <w:color w:val="0B5394"/>
                <w:sz w:val="24"/>
              </w:rPr>
              <w:t>③ SUJET DIVISÉ</w:t>
            </w:r>
          </w:p>
          <w:p>
            <w:pPr>
              <w:pStyle w:val="ListBullet"/>
              <w:spacing w:before="0" w:after="0" w:line="276" w:lineRule="auto"/>
            </w:pPr>
            <w:r>
              <w:rPr>
                <w:sz w:val="21"/>
              </w:rPr>
              <w:t>Annoncer le plan (1 phrase).</w:t>
            </w:r>
          </w:p>
          <w:p>
            <w:pPr>
              <w:pStyle w:val="ListBullet"/>
              <w:spacing w:before="0" w:after="0" w:line="276" w:lineRule="auto"/>
            </w:pPr>
            <w:r>
              <w:rPr>
                <w:sz w:val="21"/>
              </w:rPr>
              <w:t>2 ou 3 axes maximum, verbes d’action.</w:t>
            </w:r>
          </w:p>
          <w:p>
            <w:pPr>
              <w:pStyle w:val="ListBullet"/>
              <w:spacing w:before="0" w:after="0" w:line="276" w:lineRule="auto"/>
            </w:pPr>
            <w:r>
              <w:rPr>
                <w:sz w:val="21"/>
              </w:rPr>
              <w:t>Utiliser « d’abord / ensuite / enfin ».</w:t>
            </w:r>
          </w:p>
          <w:p>
            <w:pPr>
              <w:spacing w:before="80" w:after="0" w:line="276" w:lineRule="auto"/>
            </w:pPr>
            <w:r>
              <w:rPr>
                <w:i/>
                <w:color w:val="333333"/>
                <w:sz w:val="21"/>
              </w:rPr>
              <w:t>Ex.: Nous verrons d’abord..., puis...</w:t>
            </w:r>
          </w:p>
        </w:tc>
      </w:tr>
    </w:tbl>
    <w:p>
      <w:pPr>
        <w:spacing w:before="120" w:after="160" w:line="240" w:lineRule="auto"/>
        <w:jc w:val="center"/>
      </w:pPr>
      <w:r>
        <w:rPr>
          <w:b/>
          <w:color w:val="444444"/>
          <w:sz w:val="22"/>
        </w:rPr>
        <w:t>SUJET AMENÉ  →  SUJET POSÉ  →  SUJET DIVISÉ</w:t>
      </w:r>
    </w:p>
    <w:tbl>
      <w:tblPr>
        <w:tblW w:type="auto" w:w="0"/>
        <w:jc w:val="center"/>
        <w:tblLook w:firstColumn="1" w:firstRow="1" w:lastColumn="0" w:lastRow="0" w:noHBand="0" w:noVBand="1" w:val="04A0"/>
      </w:tblPr>
      <w:tblGrid>
        <w:gridCol w:w="10426"/>
      </w:tblGrid>
      <w:tr>
        <w:tc>
          <w:tcPr>
            <w:tcW w:type="dxa" w:w="10426"/>
            <w:shd w:val="clear" w:color="auto" w:fill="F2F2F2"/>
            <w:tcBorders>
              <w:top w:val="single" w:sz="10" w:space="0" w:color="B7B7B7"/>
              <w:bottom w:val="single" w:sz="10" w:space="0" w:color="B7B7B7"/>
              <w:left w:val="single" w:sz="10" w:space="0" w:color="B7B7B7"/>
              <w:right w:val="single" w:sz="10" w:space="0" w:color="B7B7B7"/>
            </w:tcBorders>
          </w:tcPr>
          <w:p>
            <w:pPr>
              <w:spacing w:before="80" w:after="80" w:line="240" w:lineRule="auto"/>
            </w:pPr>
            <w:r>
              <w:rPr>
                <w:b/>
                <w:color w:val="0B5394"/>
                <w:sz w:val="23"/>
              </w:rPr>
              <w:t>Checklist rapide (à relire avant de rendre)</w:t>
            </w:r>
          </w:p>
          <w:p>
            <w:pPr>
              <w:pStyle w:val="ListBullet"/>
              <w:spacing w:before="0" w:after="0" w:line="276" w:lineRule="auto"/>
            </w:pPr>
            <w:r>
              <w:rPr>
                <w:sz w:val="21"/>
              </w:rPr>
              <w:t>Le sujet est repris mot à mot (ou reformulé fidèlement).</w:t>
            </w:r>
          </w:p>
          <w:p>
            <w:pPr>
              <w:pStyle w:val="ListBullet"/>
              <w:spacing w:before="0" w:after="0" w:line="276" w:lineRule="auto"/>
            </w:pPr>
            <w:r>
              <w:rPr>
                <w:sz w:val="21"/>
              </w:rPr>
              <w:t>L’introduction mène au sujet sans raconter toute la réponse.</w:t>
            </w:r>
          </w:p>
          <w:p>
            <w:pPr>
              <w:pStyle w:val="ListBullet"/>
              <w:spacing w:before="0" w:after="0" w:line="276" w:lineRule="auto"/>
            </w:pPr>
            <w:r>
              <w:rPr>
                <w:sz w:val="21"/>
              </w:rPr>
              <w:t>Le plan annoncé correspond exactement aux parties du développement.</w:t>
            </w:r>
          </w:p>
          <w:p>
            <w:pPr>
              <w:pStyle w:val="ListBullet"/>
              <w:spacing w:before="0" w:after="0" w:line="276" w:lineRule="auto"/>
            </w:pPr>
            <w:r>
              <w:rPr>
                <w:sz w:val="21"/>
              </w:rPr>
              <w:t>Longueur conseillée: 6 à 10 lignes (selon consignes).</w:t>
            </w:r>
          </w:p>
        </w:tc>
      </w:tr>
    </w:tbl>
    <w:p>
      <w:pPr>
        <w:spacing w:before="120" w:after="0" w:line="264" w:lineRule="auto"/>
      </w:pPr>
      <w:r>
        <w:rPr>
          <w:i/>
          <w:color w:val="444444"/>
          <w:sz w:val="21"/>
        </w:rPr>
        <w:t>Astuce: si l’enseignant demande une problématique, placez-la entre le sujet posé et le sujet divisé (1 phrase).</w:t>
      </w:r>
    </w:p>
    <w:p>
      <w:r>
        <w:br w:type="page"/>
      </w:r>
    </w:p>
    <w:tbl>
      <w:tblPr>
        <w:tblW w:type="auto" w:w="0"/>
        <w:jc w:val="center"/>
        <w:tblLook w:firstColumn="1" w:firstRow="1" w:lastColumn="0" w:lastRow="0" w:noHBand="0" w:noVBand="1" w:val="04A0"/>
      </w:tblPr>
      <w:tblGrid>
        <w:gridCol w:w="10426"/>
      </w:tblGrid>
      <w:tr>
        <w:tc>
          <w:tcPr>
            <w:tcW w:type="dxa" w:w="10426"/>
            <w:shd w:val="clear" w:color="auto" w:fill="2F5597"/>
            <w:vAlign w:val="center"/>
            <w:tcBorders>
              <w:top w:val="nil" w:sz="10" w:space="0" w:color="B7B7B7"/>
              <w:bottom w:val="nil" w:sz="10" w:space="0" w:color="B7B7B7"/>
              <w:left w:val="nil" w:sz="10" w:space="0" w:color="B7B7B7"/>
              <w:right w:val="nil" w:sz="10" w:space="0" w:color="B7B7B7"/>
            </w:tcBorders>
          </w:tcPr>
          <w:p>
            <w:pPr>
              <w:spacing w:before="120" w:after="120" w:line="240" w:lineRule="auto"/>
              <w:jc w:val="center"/>
            </w:pPr>
            <w:r>
              <w:rPr>
                <w:rFonts w:ascii="Calibri" w:hAnsi="Calibri"/>
                <w:b/>
                <w:color w:val="FFFFFF"/>
                <w:sz w:val="36"/>
              </w:rPr>
              <w:t>Exemple rempli (prêt à adapter)</w:t>
            </w:r>
          </w:p>
        </w:tc>
      </w:tr>
    </w:tbl>
    <w:p>
      <w:pPr>
        <w:spacing w:before="120" w:after="200" w:line="240" w:lineRule="auto"/>
        <w:jc w:val="center"/>
      </w:pPr>
      <w:r>
        <w:rPr>
          <w:i/>
          <w:color w:val="444444"/>
          <w:sz w:val="22"/>
        </w:rPr>
        <w:t>Sujet d’exemple: « Les réseaux sociaux nuisent-ils à la réussite scolaire des adolescents ? »</w:t>
      </w:r>
    </w:p>
    <w:tbl>
      <w:tblPr>
        <w:tblW w:type="auto" w:w="0"/>
        <w:jc w:val="center"/>
        <w:tblLayout w:type="autofit"/>
        <w:tblLook w:firstColumn="1" w:firstRow="1" w:lastColumn="0" w:lastRow="0" w:noHBand="0" w:noVBand="1" w:val="04A0"/>
      </w:tblPr>
      <w:tblGrid>
        <w:gridCol w:w="10426"/>
      </w:tblGrid>
      <w:tr>
        <w:tc>
          <w:tcPr>
            <w:tcW w:type="dxa" w:w="10426"/>
            <w:shd w:val="clear" w:color="auto" w:fill="0B5394"/>
            <w:tcBorders>
              <w:top w:val="single" w:sz="10" w:space="0" w:color="B7B7B7"/>
              <w:bottom w:val="single" w:sz="0" w:space="0" w:color="FFFFFF"/>
              <w:left w:val="single" w:sz="10" w:space="0" w:color="B7B7B7"/>
              <w:right w:val="single" w:sz="10" w:space="0" w:color="B7B7B7"/>
            </w:tcBorders>
            <w:vAlign w:val="center"/>
          </w:tcPr>
          <w:p>
            <w:pPr>
              <w:spacing w:before="40" w:after="40" w:line="240" w:lineRule="auto"/>
              <w:jc w:val="left"/>
            </w:pPr>
            <w:r>
              <w:rPr>
                <w:b/>
                <w:color w:val="FFFFFF"/>
                <w:sz w:val="23"/>
              </w:rPr>
              <w:t>SUJET AMENÉ</w:t>
            </w:r>
          </w:p>
        </w:tc>
      </w:tr>
      <w:tr>
        <w:tc>
          <w:tcPr>
            <w:tcW w:type="dxa" w:w="10426"/>
            <w:shd w:val="clear" w:color="auto" w:fill="FFFFFF"/>
            <w:tcBorders>
              <w:top w:val="single" w:sz="0" w:space="0" w:color="FFFFFF"/>
              <w:bottom w:val="single" w:sz="10" w:space="0" w:color="B7B7B7"/>
              <w:left w:val="single" w:sz="10" w:space="0" w:color="B7B7B7"/>
              <w:right w:val="single" w:sz="10" w:space="0" w:color="B7B7B7"/>
            </w:tcBorders>
            <w:vAlign w:val="top"/>
          </w:tcPr>
          <w:p>
            <w:pPr>
              <w:spacing w:before="80" w:after="80" w:line="300" w:lineRule="auto"/>
            </w:pPr>
            <w:r>
              <w:rPr>
                <w:sz w:val="22"/>
              </w:rPr>
              <w:t>À l’ère du numérique, les réseaux sociaux occupent une place centrale dans la vie des adolescents. Ils influencent la manière de s’informer, de communiquer et même de se construire une identité. Or, cette présence constante des écrans soulève des inquiétudes, notamment lorsque le temps d’étude se trouve concurrencé par la connexion permanente.</w:t>
            </w:r>
          </w:p>
        </w:tc>
      </w:tr>
    </w:tbl>
    <w:p>
      <w:pPr>
        <w:spacing w:before="40" w:after="40" w:line="240" w:lineRule="auto"/>
      </w:pPr>
    </w:p>
    <w:tbl>
      <w:tblPr>
        <w:tblW w:type="auto" w:w="0"/>
        <w:jc w:val="center"/>
        <w:tblLayout w:type="autofit"/>
        <w:tblLook w:firstColumn="1" w:firstRow="1" w:lastColumn="0" w:lastRow="0" w:noHBand="0" w:noVBand="1" w:val="04A0"/>
      </w:tblPr>
      <w:tblGrid>
        <w:gridCol w:w="10426"/>
      </w:tblGrid>
      <w:tr>
        <w:tc>
          <w:tcPr>
            <w:tcW w:type="dxa" w:w="10426"/>
            <w:shd w:val="clear" w:color="auto" w:fill="0B5394"/>
            <w:tcBorders>
              <w:top w:val="single" w:sz="10" w:space="0" w:color="B7B7B7"/>
              <w:bottom w:val="single" w:sz="0" w:space="0" w:color="FFFFFF"/>
              <w:left w:val="single" w:sz="10" w:space="0" w:color="B7B7B7"/>
              <w:right w:val="single" w:sz="10" w:space="0" w:color="B7B7B7"/>
            </w:tcBorders>
            <w:vAlign w:val="center"/>
          </w:tcPr>
          <w:p>
            <w:pPr>
              <w:spacing w:before="40" w:after="40" w:line="240" w:lineRule="auto"/>
              <w:jc w:val="left"/>
            </w:pPr>
            <w:r>
              <w:rPr>
                <w:b/>
                <w:color w:val="FFFFFF"/>
                <w:sz w:val="23"/>
              </w:rPr>
              <w:t>SUJET POSÉ</w:t>
            </w:r>
          </w:p>
        </w:tc>
      </w:tr>
      <w:tr>
        <w:tc>
          <w:tcPr>
            <w:tcW w:type="dxa" w:w="10426"/>
            <w:shd w:val="clear" w:color="auto" w:fill="FFFFFF"/>
            <w:tcBorders>
              <w:top w:val="single" w:sz="0" w:space="0" w:color="FFFFFF"/>
              <w:bottom w:val="single" w:sz="10" w:space="0" w:color="B7B7B7"/>
              <w:left w:val="single" w:sz="10" w:space="0" w:color="B7B7B7"/>
              <w:right w:val="single" w:sz="10" w:space="0" w:color="B7B7B7"/>
            </w:tcBorders>
            <w:vAlign w:val="top"/>
          </w:tcPr>
          <w:p>
            <w:pPr>
              <w:spacing w:before="80" w:after="80" w:line="300" w:lineRule="auto"/>
            </w:pPr>
            <w:r>
              <w:rPr>
                <w:sz w:val="22"/>
              </w:rPr>
              <w:t>Dans ce contexte, il devient pertinent de se demander si les réseaux sociaux nuisent à la réussite scolaire des adolescents.</w:t>
            </w:r>
          </w:p>
        </w:tc>
      </w:tr>
    </w:tbl>
    <w:p>
      <w:pPr>
        <w:spacing w:before="40" w:after="40" w:line="240" w:lineRule="auto"/>
      </w:pPr>
    </w:p>
    <w:tbl>
      <w:tblPr>
        <w:tblW w:type="auto" w:w="0"/>
        <w:jc w:val="center"/>
        <w:tblLayout w:type="autofit"/>
        <w:tblLook w:firstColumn="1" w:firstRow="1" w:lastColumn="0" w:lastRow="0" w:noHBand="0" w:noVBand="1" w:val="04A0"/>
      </w:tblPr>
      <w:tblGrid>
        <w:gridCol w:w="10426"/>
      </w:tblGrid>
      <w:tr>
        <w:tc>
          <w:tcPr>
            <w:tcW w:type="dxa" w:w="10426"/>
            <w:shd w:val="clear" w:color="auto" w:fill="7F7F7F"/>
            <w:tcBorders>
              <w:top w:val="single" w:sz="10" w:space="0" w:color="B7B7B7"/>
              <w:bottom w:val="single" w:sz="0" w:space="0" w:color="FFFFFF"/>
              <w:left w:val="single" w:sz="10" w:space="0" w:color="B7B7B7"/>
              <w:right w:val="single" w:sz="10" w:space="0" w:color="B7B7B7"/>
            </w:tcBorders>
            <w:vAlign w:val="center"/>
          </w:tcPr>
          <w:p>
            <w:pPr>
              <w:spacing w:before="40" w:after="40" w:line="240" w:lineRule="auto"/>
              <w:jc w:val="left"/>
            </w:pPr>
            <w:r>
              <w:rPr>
                <w:b/>
                <w:color w:val="FFFFFF"/>
                <w:sz w:val="23"/>
              </w:rPr>
              <w:t>PROBLÉMATIQUE (FACULTATIVE)</w:t>
            </w:r>
          </w:p>
        </w:tc>
      </w:tr>
      <w:tr>
        <w:tc>
          <w:tcPr>
            <w:tcW w:type="dxa" w:w="10426"/>
            <w:shd w:val="clear" w:color="auto" w:fill="FFFFFF"/>
            <w:tcBorders>
              <w:top w:val="single" w:sz="0" w:space="0" w:color="FFFFFF"/>
              <w:bottom w:val="single" w:sz="10" w:space="0" w:color="B7B7B7"/>
              <w:left w:val="single" w:sz="10" w:space="0" w:color="B7B7B7"/>
              <w:right w:val="single" w:sz="10" w:space="0" w:color="B7B7B7"/>
            </w:tcBorders>
            <w:vAlign w:val="top"/>
          </w:tcPr>
          <w:p>
            <w:pPr>
              <w:spacing w:before="80" w:after="80" w:line="300" w:lineRule="auto"/>
            </w:pPr>
            <w:r>
              <w:rPr>
                <w:sz w:val="22"/>
              </w:rPr>
              <w:t>Autrement dit, ces plateformes constituent-elles surtout un obstacle (distraction, fatigue, désorganisation) ou peuvent-elles aussi devenir un levier d’apprentissage (entraide, ressources, motivation) ?</w:t>
            </w:r>
          </w:p>
        </w:tc>
      </w:tr>
    </w:tbl>
    <w:p>
      <w:pPr>
        <w:spacing w:before="40" w:after="40" w:line="240" w:lineRule="auto"/>
      </w:pPr>
    </w:p>
    <w:tbl>
      <w:tblPr>
        <w:tblW w:type="auto" w:w="0"/>
        <w:jc w:val="center"/>
        <w:tblLayout w:type="autofit"/>
        <w:tblLook w:firstColumn="1" w:firstRow="1" w:lastColumn="0" w:lastRow="0" w:noHBand="0" w:noVBand="1" w:val="04A0"/>
      </w:tblPr>
      <w:tblGrid>
        <w:gridCol w:w="10426"/>
      </w:tblGrid>
      <w:tr>
        <w:tc>
          <w:tcPr>
            <w:tcW w:type="dxa" w:w="10426"/>
            <w:shd w:val="clear" w:color="auto" w:fill="0B5394"/>
            <w:tcBorders>
              <w:top w:val="single" w:sz="10" w:space="0" w:color="B7B7B7"/>
              <w:bottom w:val="single" w:sz="0" w:space="0" w:color="FFFFFF"/>
              <w:left w:val="single" w:sz="10" w:space="0" w:color="B7B7B7"/>
              <w:right w:val="single" w:sz="10" w:space="0" w:color="B7B7B7"/>
            </w:tcBorders>
            <w:vAlign w:val="center"/>
          </w:tcPr>
          <w:p>
            <w:pPr>
              <w:spacing w:before="40" w:after="40" w:line="240" w:lineRule="auto"/>
              <w:jc w:val="left"/>
            </w:pPr>
            <w:r>
              <w:rPr>
                <w:b/>
                <w:color w:val="FFFFFF"/>
                <w:sz w:val="23"/>
              </w:rPr>
              <w:t>SUJET DIVISÉ</w:t>
            </w:r>
          </w:p>
        </w:tc>
      </w:tr>
      <w:tr>
        <w:tc>
          <w:tcPr>
            <w:tcW w:type="dxa" w:w="10426"/>
            <w:shd w:val="clear" w:color="auto" w:fill="FFFFFF"/>
            <w:tcBorders>
              <w:top w:val="single" w:sz="0" w:space="0" w:color="FFFFFF"/>
              <w:bottom w:val="single" w:sz="10" w:space="0" w:color="B7B7B7"/>
              <w:left w:val="single" w:sz="10" w:space="0" w:color="B7B7B7"/>
              <w:right w:val="single" w:sz="10" w:space="0" w:color="B7B7B7"/>
            </w:tcBorders>
            <w:vAlign w:val="top"/>
          </w:tcPr>
          <w:p>
            <w:pPr>
              <w:spacing w:before="80" w:after="80" w:line="300" w:lineRule="auto"/>
            </w:pPr>
            <w:r>
              <w:rPr>
                <w:sz w:val="22"/>
              </w:rPr>
              <w:t>Pour répondre, nous montrerons d’abord comment les réseaux sociaux peuvent fragiliser la concentration et les habitudes d’étude; puis nous verrons dans quelles conditions ils peuvent, au contraire, soutenir les apprentissages et l’engagement scolaire.</w:t>
            </w:r>
          </w:p>
        </w:tc>
      </w:tr>
    </w:tbl>
    <w:p/>
    <w:p>
      <w:pPr>
        <w:spacing w:before="240" w:after="120" w:line="240" w:lineRule="auto"/>
      </w:pPr>
      <w:r>
        <w:rPr>
          <w:b/>
          <w:color w:val="0B5394"/>
          <w:sz w:val="28"/>
        </w:rPr>
        <w:t>Zone d’adaptation (à compléter)</w:t>
      </w:r>
    </w:p>
    <w:tbl>
      <w:tblPr>
        <w:tblW w:type="auto" w:w="0"/>
        <w:jc w:val="center"/>
        <w:tblLayout w:type="autofit"/>
        <w:tblLook w:firstColumn="1" w:firstRow="1" w:lastColumn="0" w:lastRow="0" w:noHBand="0" w:noVBand="1" w:val="04A0"/>
      </w:tblPr>
      <w:tblGrid>
        <w:gridCol w:w="5213"/>
        <w:gridCol w:w="5213"/>
      </w:tblGrid>
      <w:tr>
        <w:tc>
          <w:tcPr>
            <w:tcW w:type="dxa" w:w="5213"/>
            <w:shd w:val="clear" w:color="auto" w:fill="D9E1F2"/>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b/>
                <w:color w:val="0B5394"/>
                <w:sz w:val="21"/>
              </w:rPr>
              <w:t>Contexte choisi</w:t>
            </w:r>
          </w:p>
        </w:tc>
        <w:tc>
          <w:tcPr>
            <w:tcW w:type="dxa" w:w="5213"/>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color w:val="666666"/>
                <w:sz w:val="21"/>
              </w:rPr>
              <w:t>....................................................................................................................</w:t>
            </w:r>
          </w:p>
        </w:tc>
      </w:tr>
      <w:tr>
        <w:tc>
          <w:tcPr>
            <w:tcW w:type="dxa" w:w="5213"/>
            <w:shd w:val="clear" w:color="auto" w:fill="D9E1F2"/>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b/>
                <w:color w:val="0B5394"/>
                <w:sz w:val="21"/>
              </w:rPr>
              <w:t>Sujet (formulation exacte)</w:t>
            </w:r>
          </w:p>
        </w:tc>
        <w:tc>
          <w:tcPr>
            <w:tcW w:type="dxa" w:w="5213"/>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color w:val="666666"/>
                <w:sz w:val="21"/>
              </w:rPr>
              <w:t>....................................................................................................................</w:t>
            </w:r>
          </w:p>
        </w:tc>
      </w:tr>
      <w:tr>
        <w:tc>
          <w:tcPr>
            <w:tcW w:type="dxa" w:w="5213"/>
            <w:shd w:val="clear" w:color="auto" w:fill="D9E1F2"/>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b/>
                <w:color w:val="0B5394"/>
                <w:sz w:val="21"/>
              </w:rPr>
              <w:t>Problématique (facultative)</w:t>
            </w:r>
          </w:p>
        </w:tc>
        <w:tc>
          <w:tcPr>
            <w:tcW w:type="dxa" w:w="5213"/>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color w:val="666666"/>
                <w:sz w:val="21"/>
              </w:rPr>
              <w:t>....................................................................................................................</w:t>
            </w:r>
          </w:p>
        </w:tc>
      </w:tr>
      <w:tr>
        <w:tc>
          <w:tcPr>
            <w:tcW w:type="dxa" w:w="5213"/>
            <w:shd w:val="clear" w:color="auto" w:fill="D9E1F2"/>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b/>
                <w:color w:val="0B5394"/>
                <w:sz w:val="21"/>
              </w:rPr>
              <w:t>Partie 1 (axe)</w:t>
            </w:r>
          </w:p>
        </w:tc>
        <w:tc>
          <w:tcPr>
            <w:tcW w:type="dxa" w:w="5213"/>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color w:val="666666"/>
                <w:sz w:val="21"/>
              </w:rPr>
              <w:t>....................................................................................................................</w:t>
            </w:r>
          </w:p>
        </w:tc>
      </w:tr>
      <w:tr>
        <w:tc>
          <w:tcPr>
            <w:tcW w:type="dxa" w:w="5213"/>
            <w:shd w:val="clear" w:color="auto" w:fill="D9E1F2"/>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b/>
                <w:color w:val="0B5394"/>
                <w:sz w:val="21"/>
              </w:rPr>
              <w:t>Partie 2 (axe)</w:t>
            </w:r>
          </w:p>
        </w:tc>
        <w:tc>
          <w:tcPr>
            <w:tcW w:type="dxa" w:w="5213"/>
            <w:tcBorders>
              <w:top w:val="single" w:sz="10" w:space="0" w:color="B7B7B7"/>
              <w:bottom w:val="single" w:sz="10" w:space="0" w:color="B7B7B7"/>
              <w:left w:val="single" w:sz="10" w:space="0" w:color="B7B7B7"/>
              <w:right w:val="single" w:sz="10" w:space="0" w:color="B7B7B7"/>
            </w:tcBorders>
            <w:vAlign w:val="center"/>
          </w:tcPr>
          <w:p>
            <w:pPr>
              <w:spacing w:before="40" w:after="40" w:line="240" w:lineRule="auto"/>
            </w:pPr>
            <w:r>
              <w:rPr>
                <w:color w:val="666666"/>
                <w:sz w:val="21"/>
              </w:rPr>
              <w:t>....................................................................................................................</w:t>
            </w:r>
          </w:p>
        </w:tc>
      </w:tr>
    </w:tbl>
    <w:sectPr w:rsidR="00FC693F" w:rsidRPr="0006063C" w:rsidSect="00034616">
      <w:footerReference w:type="default" r:id="rId9"/>
      <w:pgSz w:w="12240" w:h="15840"/>
      <w:pgMar w:top="850" w:right="907" w:bottom="850"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88888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