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tblLook w:firstColumn="1" w:firstRow="1" w:lastColumn="0" w:lastRow="0" w:noHBand="0" w:noVBand="1" w:val="04A0"/>
      </w:tblPr>
      <w:tblGrid>
        <w:gridCol w:w="9972"/>
      </w:tblGrid>
      <w:tr>
        <w:tc>
          <w:tcPr>
            <w:tcW w:type="dxa" w:w="9972"/>
            <w:shd w:val="clear" w:color="auto" w:fill="2F5597"/>
          </w:tcPr>
          <w:p>
            <w:pPr>
              <w:jc w:val="center"/>
            </w:pPr>
            <w:r>
              <w:rPr>
                <w:b/>
                <w:color w:val="FFFFFF"/>
                <w:sz w:val="32"/>
              </w:rPr>
              <w:t>PROCÈS-VERBAL DE L’ASSEMBLÉE CONSTITUTIVE</w:t>
            </w:r>
          </w:p>
        </w:tc>
      </w:tr>
    </w:tbl>
    <w:p>
      <w:pPr>
        <w:jc w:val="center"/>
      </w:pPr>
      <w:r>
        <w:rPr>
          <w:b/>
          <w:color w:val="2F5597"/>
        </w:rPr>
        <w:t>Association Quartier &amp; Culture – Assemblée constitutive du 15 janvier 2025</w:t>
      </w:r>
    </w:p>
    <w:p>
      <w:pPr>
        <w:jc w:val="center"/>
      </w:pPr>
      <w:r>
        <w:t>Lieu : Maison des Associations, 12 rue des Tilleuls, 69007 Lyon</w:t>
      </w:r>
    </w:p>
    <w:p/>
    <w:tbl>
      <w:tblPr>
        <w:tblW w:type="auto" w:w="0"/>
        <w:tblLayout w:type="autofit"/>
        <w:tblLook w:firstColumn="1" w:firstRow="1" w:lastColumn="0" w:lastRow="0" w:noHBand="0" w:noVBand="1" w:val="04A0"/>
      </w:tblPr>
      <w:tblGrid>
        <w:gridCol w:w="4986"/>
        <w:gridCol w:w="4986"/>
      </w:tblGrid>
      <w:tr>
        <w:tc>
          <w:tcPr>
            <w:tcW w:type="dxa" w:w="2268"/>
            <w:shd w:val="clear" w:color="auto" w:fill="EDEDED"/>
          </w:tcPr>
          <w:p>
            <w:r>
              <w:rPr>
                <w:b/>
                <w:color w:val="2F5597"/>
                <w:sz w:val="18"/>
              </w:rPr>
              <w:t>INDICATION</w:t>
              <w:br/>
            </w:r>
            <w:r>
              <w:rPr>
                <w:i/>
                <w:color w:val="646464"/>
                <w:sz w:val="18"/>
              </w:rPr>
              <w:t>Présenter ici l’ouverture de séance, la régularité de la convocation et l’ordre du jour. Cet encadré sert de modèle pour introduire toute assemblée constitutive.</w:t>
            </w:r>
          </w:p>
        </w:tc>
        <w:tc>
          <w:tcPr>
            <w:tcW w:type="dxa" w:w="6236"/>
          </w:tcPr>
          <w:p>
            <w:r>
              <w:rPr>
                <w:b/>
                <w:color w:val="2F5597"/>
                <w:sz w:val="24"/>
              </w:rPr>
              <w:t>Ouverture de séance, convocation et ordre du jour</w:t>
            </w:r>
          </w:p>
          <w:p>
            <w:r>
              <w:t>L’Assemblée constitutive de l’association appelée à prendre la dénomination « Quartier &amp; Culture » se réunit le 15 janvier 2025 à 18h00, à la Maison des Associations, 12 rue des Tilleuls, 69007 Lyon.</w:t>
            </w:r>
          </w:p>
          <w:p>
            <w:r>
              <w:t>Les personnes intéressées à la création de l’association ont été convoquées par courriel et affichage en mairie de quartier le 2 janvier 2025, avec indication de la date, du lieu et de l’ordre du jour.</w:t>
            </w:r>
          </w:p>
          <w:p>
            <w:r>
              <w:t>L’assemblée désigne à l’unanimité Madame Claire Martin comme présidente de séance et Monsieur Julien Morel comme secrétaire de séance.</w:t>
            </w:r>
          </w:p>
          <w:p>
            <w:r>
              <w:t>L’ordre du jour est le suivant :</w:t>
            </w:r>
          </w:p>
          <w:p>
            <w:pPr>
              <w:pStyle w:val="ListBullet"/>
            </w:pPr>
            <w:r>
              <w:t>Présentation du projet associatif ;</w:t>
            </w:r>
          </w:p>
          <w:p>
            <w:pPr>
              <w:pStyle w:val="ListBullet"/>
            </w:pPr>
            <w:r>
              <w:t>Choix de la dénomination de l’association ;</w:t>
            </w:r>
          </w:p>
          <w:p>
            <w:pPr>
              <w:pStyle w:val="ListBullet"/>
            </w:pPr>
            <w:r>
              <w:t>Adoption des statuts ;</w:t>
            </w:r>
          </w:p>
          <w:p>
            <w:pPr>
              <w:pStyle w:val="ListBullet"/>
            </w:pPr>
            <w:r>
              <w:t>Fixation du siège social et principales modalités de fonctionnement ;</w:t>
            </w:r>
          </w:p>
          <w:p>
            <w:pPr>
              <w:pStyle w:val="ListBullet"/>
            </w:pPr>
            <w:r>
              <w:t>Élection des membres du premier Bureau ;</w:t>
            </w:r>
          </w:p>
          <w:p>
            <w:pPr>
              <w:pStyle w:val="ListBullet"/>
            </w:pPr>
            <w:r>
              <w:t>Pouvoirs pour formalités.</w:t>
            </w:r>
          </w:p>
        </w:tc>
      </w:tr>
    </w:tbl>
    <w:p/>
    <w:tbl>
      <w:tblPr>
        <w:tblW w:type="auto" w:w="0"/>
        <w:tblLayout w:type="autofit"/>
        <w:tblLook w:firstColumn="1" w:firstRow="1" w:lastColumn="0" w:lastRow="0" w:noHBand="0" w:noVBand="1" w:val="04A0"/>
      </w:tblPr>
      <w:tblGrid>
        <w:gridCol w:w="4986"/>
        <w:gridCol w:w="4986"/>
      </w:tblGrid>
      <w:tr>
        <w:tc>
          <w:tcPr>
            <w:tcW w:type="dxa" w:w="2268"/>
            <w:shd w:val="clear" w:color="auto" w:fill="EDEDED"/>
          </w:tcPr>
          <w:p>
            <w:r>
              <w:rPr>
                <w:b/>
                <w:color w:val="2F5597"/>
                <w:sz w:val="18"/>
              </w:rPr>
              <w:t>INDICATION</w:t>
              <w:br/>
            </w:r>
            <w:r>
              <w:rPr>
                <w:i/>
                <w:color w:val="646464"/>
                <w:sz w:val="18"/>
              </w:rPr>
              <w:t>Montrer ici comment formuler le projet associatif de manière concise et comment acter le choix du nom. Ce passage peut être adapté pour toute nouvelle association.</w:t>
            </w:r>
          </w:p>
        </w:tc>
        <w:tc>
          <w:tcPr>
            <w:tcW w:type="dxa" w:w="6236"/>
          </w:tcPr>
          <w:p>
            <w:r>
              <w:rPr>
                <w:b/>
                <w:color w:val="2F5597"/>
                <w:sz w:val="24"/>
              </w:rPr>
              <w:t>Projet associatif et dénomination de l’association</w:t>
            </w:r>
          </w:p>
          <w:p>
            <w:r>
              <w:t>La présidente de séance rappelle le contexte de la création : un collectif d’habitants souhaite proposer des activités culturelles, éducatives et conviviales dans le quartier des Tilleuls afin de renforcer le lien social.</w:t>
            </w:r>
          </w:p>
          <w:p>
            <w:r>
              <w:t>Après discussion, l’assemblée retient la dénomination suivante : « Association Quartier &amp; Culture ».</w:t>
            </w:r>
          </w:p>
          <w:p>
            <w:r>
              <w:t>Cette dénomination est adoptée à l’unanimité des personnes présentes.</w:t>
            </w:r>
          </w:p>
        </w:tc>
      </w:tr>
    </w:tbl>
    <w:p/>
    <w:tbl>
      <w:tblPr>
        <w:tblW w:type="auto" w:w="0"/>
        <w:tblLayout w:type="autofit"/>
        <w:tblLook w:firstColumn="1" w:firstRow="1" w:lastColumn="0" w:lastRow="0" w:noHBand="0" w:noVBand="1" w:val="04A0"/>
      </w:tblPr>
      <w:tblGrid>
        <w:gridCol w:w="4986"/>
        <w:gridCol w:w="4986"/>
      </w:tblGrid>
      <w:tr>
        <w:tc>
          <w:tcPr>
            <w:tcW w:type="dxa" w:w="2268"/>
            <w:shd w:val="clear" w:color="auto" w:fill="EDEDED"/>
          </w:tcPr>
          <w:p>
            <w:r>
              <w:rPr>
                <w:b/>
                <w:color w:val="2F5597"/>
                <w:sz w:val="18"/>
              </w:rPr>
              <w:t>INDICATION</w:t>
              <w:br/>
            </w:r>
            <w:r>
              <w:rPr>
                <w:i/>
                <w:color w:val="646464"/>
                <w:sz w:val="18"/>
              </w:rPr>
              <w:t>Décrire de façon structurée la procédure : présentation du projet de statuts, discussion, modifications éventuelles, puis vote formel. Préciser si un modèle type a été utilisé ou non.</w:t>
            </w:r>
          </w:p>
        </w:tc>
        <w:tc>
          <w:tcPr>
            <w:tcW w:type="dxa" w:w="6236"/>
          </w:tcPr>
          <w:p>
            <w:r>
              <w:rPr>
                <w:b/>
                <w:color w:val="2F5597"/>
                <w:sz w:val="24"/>
              </w:rPr>
              <w:t>Présentation et adoption des statuts</w:t>
            </w:r>
          </w:p>
          <w:p>
            <w:r>
              <w:t>Un projet de statuts, inspiré du modèle associatif type et adapté aux besoins du quartier, est présenté par la présidente de séance.</w:t>
            </w:r>
          </w:p>
          <w:p>
            <w:r>
              <w:t>Article par article, les participants examinent le texte proposé. Quelques ajustements rédactionnels sont apportés, notamment sur l’objet social (article 2) et les modalités d’adhésion (article 5).</w:t>
            </w:r>
          </w:p>
          <w:p>
            <w:r>
              <w:t>À l’issue de la discussion, les statuts sont mis aux voix. L’assemblée adopte les statuts de l’association Quartier &amp; Culture à l’unanimité des personnes présentes.</w:t>
            </w:r>
          </w:p>
          <w:p>
            <w:r>
              <w:t>Les statuts ainsi adoptés sont paraphés par la présidente de séance sur chaque page et signés en dernière page par les membres fondateurs, dont la liste est annexée au présent procès-verbal.</w:t>
            </w:r>
          </w:p>
        </w:tc>
      </w:tr>
    </w:tbl>
    <w:p/>
    <w:tbl>
      <w:tblPr>
        <w:tblW w:type="auto" w:w="0"/>
        <w:tblLayout w:type="autofit"/>
        <w:tblLook w:firstColumn="1" w:firstRow="1" w:lastColumn="0" w:lastRow="0" w:noHBand="0" w:noVBand="1" w:val="04A0"/>
      </w:tblPr>
      <w:tblGrid>
        <w:gridCol w:w="4986"/>
        <w:gridCol w:w="4986"/>
      </w:tblGrid>
      <w:tr>
        <w:tc>
          <w:tcPr>
            <w:tcW w:type="dxa" w:w="2268"/>
            <w:shd w:val="clear" w:color="auto" w:fill="EDEDED"/>
          </w:tcPr>
          <w:p>
            <w:r>
              <w:rPr>
                <w:b/>
                <w:color w:val="2F5597"/>
                <w:sz w:val="18"/>
              </w:rPr>
              <w:t>INDICATION</w:t>
              <w:br/>
            </w:r>
            <w:r>
              <w:rPr>
                <w:i/>
                <w:color w:val="646464"/>
                <w:sz w:val="18"/>
              </w:rPr>
              <w:t>Regrouper dans un bloc les décisions clés de fonctionnement : adresse du siège, durée de l’association, exercice social, catégories de membres, montant indicatif de la cotisation si déjà défini.</w:t>
            </w:r>
          </w:p>
        </w:tc>
        <w:tc>
          <w:tcPr>
            <w:tcW w:type="dxa" w:w="6236"/>
          </w:tcPr>
          <w:p>
            <w:r>
              <w:rPr>
                <w:b/>
                <w:color w:val="2F5597"/>
                <w:sz w:val="24"/>
              </w:rPr>
              <w:t>Siège social et principales modalités de fonctionnement</w:t>
            </w:r>
          </w:p>
          <w:p>
            <w:r>
              <w:t>L’assemblée fixe le siège social de l’association à l’adresse suivante : Maison des Associations, 12 rue des Tilleuls, 69007 Lyon.</w:t>
            </w:r>
          </w:p>
          <w:p>
            <w:r>
              <w:t>La durée de l’association est illimitée, conformément à l’article 3 des statuts.</w:t>
            </w:r>
          </w:p>
          <w:p>
            <w:r>
              <w:t>L’exercice social commence le 1er janvier et se termine le 31 décembre de chaque année.</w:t>
            </w:r>
          </w:p>
          <w:p>
            <w:r>
              <w:t>L’association comprend des membres actifs et des membres bienfaiteurs, selon les modalités prévues aux statuts. À titre indicatif, l’assemblée propose une cotisation annuelle de 15 euros pour les membres actifs et de 30 euros pour les membres bienfaiteurs.</w:t>
            </w:r>
          </w:p>
        </w:tc>
      </w:tr>
    </w:tbl>
    <w:p/>
    <w:tbl>
      <w:tblPr>
        <w:tblW w:type="auto" w:w="0"/>
        <w:tblLayout w:type="autofit"/>
        <w:tblLook w:firstColumn="1" w:firstRow="1" w:lastColumn="0" w:lastRow="0" w:noHBand="0" w:noVBand="1" w:val="04A0"/>
      </w:tblPr>
      <w:tblGrid>
        <w:gridCol w:w="4986"/>
        <w:gridCol w:w="4986"/>
      </w:tblGrid>
      <w:tr>
        <w:tc>
          <w:tcPr>
            <w:tcW w:type="dxa" w:w="2268"/>
            <w:shd w:val="clear" w:color="auto" w:fill="EDEDED"/>
          </w:tcPr>
          <w:p>
            <w:r>
              <w:rPr>
                <w:b/>
                <w:color w:val="2F5597"/>
                <w:sz w:val="18"/>
              </w:rPr>
              <w:t>INDICATION</w:t>
              <w:br/>
            </w:r>
            <w:r>
              <w:rPr>
                <w:i/>
                <w:color w:val="646464"/>
                <w:sz w:val="18"/>
              </w:rPr>
              <w:t>Utiliser ce bloc pour illustrer la méthode de rédaction de l’élection fondatrice : appel à candidatures, mode de vote, résultats et composition finale du Bureau, avec la durée des mandats.</w:t>
            </w:r>
          </w:p>
        </w:tc>
        <w:tc>
          <w:tcPr>
            <w:tcW w:type="dxa" w:w="6236"/>
          </w:tcPr>
          <w:p>
            <w:r>
              <w:rPr>
                <w:b/>
                <w:color w:val="2F5597"/>
                <w:sz w:val="24"/>
              </w:rPr>
              <w:t>Élection des membres du premier Bureau</w:t>
            </w:r>
          </w:p>
          <w:p>
            <w:r>
              <w:t>La présidente de séance procède à l’appel à candidatures pour la composition du premier Bureau de l’association.</w:t>
            </w:r>
          </w:p>
          <w:p>
            <w:r>
              <w:t>Les candidatures suivantes se présentent :</w:t>
            </w:r>
          </w:p>
          <w:p>
            <w:pPr>
              <w:pStyle w:val="ListBullet"/>
            </w:pPr>
            <w:r>
              <w:t>Présidente : Claire Martin ;</w:t>
            </w:r>
          </w:p>
          <w:p>
            <w:pPr>
              <w:pStyle w:val="ListBullet"/>
            </w:pPr>
            <w:r>
              <w:t>Vice-présidente : Samira Beldi ;</w:t>
            </w:r>
          </w:p>
          <w:p>
            <w:pPr>
              <w:pStyle w:val="ListBullet"/>
            </w:pPr>
            <w:r>
              <w:t>Secrétaire : Julien Morel ;</w:t>
            </w:r>
          </w:p>
          <w:p>
            <w:pPr>
              <w:pStyle w:val="ListBullet"/>
            </w:pPr>
            <w:r>
              <w:t>Trésorier : Marc Dupuis.</w:t>
            </w:r>
          </w:p>
          <w:p>
            <w:r>
              <w:t>L’assemblée décide de voter à main levée.</w:t>
            </w:r>
          </w:p>
          <w:p>
            <w:r>
              <w:t>À l’issue du vote, chacune des candidatures est adoptée à l’unanimité.</w:t>
            </w:r>
          </w:p>
          <w:p>
            <w:r>
              <w:t>En conséquence, l’assemblée constitutive élit le Bureau suivant, pour une durée de trois ans :</w:t>
            </w:r>
          </w:p>
          <w:p>
            <w:pPr>
              <w:pStyle w:val="ListBullet"/>
            </w:pPr>
            <w:r>
              <w:t>Présidente : Claire Martin ;</w:t>
            </w:r>
          </w:p>
          <w:p>
            <w:pPr>
              <w:pStyle w:val="ListBullet"/>
            </w:pPr>
            <w:r>
              <w:t>Vice-présidente : Samira Beldi ;</w:t>
            </w:r>
          </w:p>
          <w:p>
            <w:pPr>
              <w:pStyle w:val="ListBullet"/>
            </w:pPr>
            <w:r>
              <w:t>Secrétaire : Julien Morel ;</w:t>
            </w:r>
          </w:p>
          <w:p>
            <w:pPr>
              <w:pStyle w:val="ListBullet"/>
            </w:pPr>
            <w:r>
              <w:t>Trésorier : Marc Dupuis.</w:t>
            </w:r>
          </w:p>
        </w:tc>
      </w:tr>
    </w:tbl>
    <w:p/>
    <w:tbl>
      <w:tblPr>
        <w:tblW w:type="auto" w:w="0"/>
        <w:tblLayout w:type="autofit"/>
        <w:tblLook w:firstColumn="1" w:firstRow="1" w:lastColumn="0" w:lastRow="0" w:noHBand="0" w:noVBand="1" w:val="04A0"/>
      </w:tblPr>
      <w:tblGrid>
        <w:gridCol w:w="4986"/>
        <w:gridCol w:w="4986"/>
      </w:tblGrid>
      <w:tr>
        <w:tc>
          <w:tcPr>
            <w:tcW w:type="dxa" w:w="2268"/>
            <w:shd w:val="clear" w:color="auto" w:fill="EDEDED"/>
          </w:tcPr>
          <w:p>
            <w:r>
              <w:rPr>
                <w:b/>
                <w:color w:val="2F5597"/>
                <w:sz w:val="18"/>
              </w:rPr>
              <w:t>INDICATION</w:t>
              <w:br/>
            </w:r>
            <w:r>
              <w:rPr>
                <w:i/>
                <w:color w:val="646464"/>
                <w:sz w:val="18"/>
              </w:rPr>
              <w:t>Toujours terminer par les pouvoirs donnés aux dirigeants pour accomplir les formalités : déclaration en préfecture, publication au Journal Officiel des Associations, ouverture du compte bancaire, etc.</w:t>
            </w:r>
          </w:p>
        </w:tc>
        <w:tc>
          <w:tcPr>
            <w:tcW w:type="dxa" w:w="6236"/>
          </w:tcPr>
          <w:p>
            <w:r>
              <w:rPr>
                <w:b/>
                <w:color w:val="2F5597"/>
                <w:sz w:val="24"/>
              </w:rPr>
              <w:t>Pouvoirs pour formalités et clôture de l’assemblée</w:t>
            </w:r>
          </w:p>
          <w:p>
            <w:r>
              <w:t>L’assemblée donne tous pouvoirs à la présidente, Claire Martin, pour accomplir les formalités de déclaration de l’association Quartier &amp; Culture auprès de la préfecture du Rhône et pour solliciter, le cas échéant, la publication au Journal Officiel des Associations et Fondations d’Entreprise.</w:t>
            </w:r>
          </w:p>
          <w:p>
            <w:r>
              <w:t>Elle l’autorise également à entreprendre les démarches nécessaires à l’ouverture d’un compte bancaire au nom de l’association.</w:t>
            </w:r>
          </w:p>
          <w:p>
            <w:r>
              <w:t>Plus aucune question n’étant soulevée, l’assemblée constitutive est levée à 20h00.</w:t>
            </w:r>
          </w:p>
          <w:p>
            <w:r>
              <w:t>Le présent procès-verbal, rédigé le 15 janvier 2025, sera conservé au registre des délibérations de l’association et signé par la présidente de séance et le secrétaire de séance.</w:t>
            </w:r>
          </w:p>
          <w:p>
            <w:r>
              <w:t>Fait à Lyon, le 15 janvier 2025.</w:t>
            </w:r>
          </w:p>
        </w:tc>
      </w:tr>
    </w:tbl>
    <w:p/>
    <w:p>
      <w:r>
        <w:rPr>
          <w:b/>
        </w:rPr>
        <w:t xml:space="preserve">La Présidente de séance : </w:t>
      </w:r>
      <w:r>
        <w:t>Claire Martin</w:t>
      </w:r>
    </w:p>
    <w:p>
      <w:r>
        <w:rPr>
          <w:b/>
        </w:rPr>
        <w:t xml:space="preserve">Le Secrétaire de séance : </w:t>
      </w:r>
      <w:r>
        <w:t>Julien Morel</w:t>
      </w:r>
    </w:p>
    <w:sectPr w:rsidR="00FC693F" w:rsidRPr="0006063C" w:rsidSect="00034616">
      <w:pgSz w:w="12240" w:h="15840"/>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