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vAlign w:val="center"/>
            <w:shd w:val="clear" w:color="auto" w:fill="1F3A5F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pStyle w:val="CGTitle"/>
              <w:jc w:val="left"/>
            </w:pPr>
            <w:r>
              <w:rPr>
                <w:b/>
                <w:color w:val="FFFFFF"/>
                <w:sz w:val="40"/>
              </w:rPr>
              <w:t>Fiche méthode : Commentaire composé</w:t>
            </w:r>
          </w:p>
          <w:p>
            <w:pPr>
              <w:pStyle w:val="CGSmall"/>
              <w:spacing w:before="40"/>
            </w:pPr>
            <w:r>
              <w:rPr>
                <w:color w:val="E6F0FF"/>
              </w:rPr>
              <w:t>De la lecture du texte jusqu’à la conclusion : une méthode pas à pas, avec outils de rédaction.</w:t>
            </w:r>
          </w:p>
        </w:tc>
      </w:tr>
    </w:tbl>
    <w:p/>
    <w:p>
      <w:pPr>
        <w:pStyle w:val="CGH1"/>
      </w:pPr>
      <w:r>
        <w:t>1) Avant d’écrire : la phase qui fait gagner des points</w:t>
      </w:r>
    </w:p>
    <w:p>
      <w:pPr/>
      <w:r>
        <w:t>Le commentaire est une démonstration : vous prouvez une lecture du texte en appuyant chaque idée sur des éléments précis (citations, procédés, organisation). La réussite se joue d’abord au brouillon : repérer, classer, construire.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1E8A8A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ASTUCE</w:t>
            </w:r>
          </w:p>
        </w:tc>
        <w:tc>
          <w:tcPr>
            <w:tcW w:type="dxa" w:w="5156"/>
            <w:shd w:val="clear" w:color="auto" w:fill="E6F6F5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Lisez 2 fois : 1) sens global, 2) repérages (champs lexicaux, images, rythmes, temps, focalisation).</w:t>
            </w:r>
          </w:p>
        </w:tc>
      </w:tr>
    </w:tbl>
    <w:p/>
    <w:p>
      <w:pPr>
        <w:pStyle w:val="CGH1"/>
      </w:pPr>
      <w:r>
        <w:t>2) Repérages : transformer des “observations” en “analyses”</w:t>
      </w:r>
    </w:p>
    <w:p>
      <w:pPr>
        <w:pStyle w:val="CGH2"/>
      </w:pPr>
      <w:r>
        <w:t>Le tableau de base (à utiliser au brouillon)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Citation courte</w:t>
            </w:r>
          </w:p>
        </w:tc>
        <w:tc>
          <w:tcPr>
            <w:tcW w:type="dxa" w:w="2578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Procédé</w:t>
            </w:r>
          </w:p>
        </w:tc>
        <w:tc>
          <w:tcPr>
            <w:tcW w:type="dxa" w:w="2578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Effet produit</w:t>
            </w:r>
          </w:p>
        </w:tc>
        <w:tc>
          <w:tcPr>
            <w:tcW w:type="dxa" w:w="2578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Interprétation (sens)</w:t>
            </w:r>
          </w:p>
        </w:tc>
      </w:tr>
      <w:tr>
        <w:trPr>
          <w:cantSplit/>
          <w:trHeight w:val="482" w:hRule="exact"/>
        </w:trPr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482" w:hRule="exact"/>
        </w:trPr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482" w:hRule="exact"/>
        </w:trPr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482" w:hRule="exact"/>
        </w:trPr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482" w:hRule="exact"/>
        </w:trPr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  <w:tc>
          <w:tcPr>
            <w:tcW w:type="dxa" w:w="2578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B00020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ERREUR FRÉQUENTE</w:t>
            </w:r>
          </w:p>
        </w:tc>
        <w:tc>
          <w:tcPr>
            <w:tcW w:type="dxa" w:w="5156"/>
            <w:shd w:val="clear" w:color="auto" w:fill="FBEAEC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Lister des procédés sans expliquer leur effet. Un procédé vaut des points seulement s’il sert une idée.</w:t>
            </w:r>
          </w:p>
        </w:tc>
      </w:tr>
    </w:tbl>
    <w:p/>
    <w:p>
      <w:pPr>
        <w:pStyle w:val="CGH1"/>
      </w:pPr>
      <w:r>
        <w:t>3) Construire le plan : 2 ou 3 axes, chacun avec 2 ou 3 sous-parties</w:t>
      </w:r>
    </w:p>
    <w:p>
      <w:pPr/>
      <w:r>
        <w:t>Un bon plan répond à votre problématique. Chaque axe doit être une idée forte, et chaque sous-partie doit s’appuyer sur plusieurs preuves (citations + analyse).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1F3A5F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BON TEST</w:t>
            </w:r>
          </w:p>
        </w:tc>
        <w:tc>
          <w:tcPr>
            <w:tcW w:type="dxa" w:w="5156"/>
            <w:shd w:val="clear" w:color="auto" w:fill="EEF4FB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Si vous pouvez résumer chaque axe en une phrase complète (verbe + complément), vous êtes sur la bonne voie.</w:t>
            </w:r>
          </w:p>
        </w:tc>
      </w:tr>
    </w:tbl>
    <w:p/>
    <w:p>
      <w:pPr>
        <w:pStyle w:val="CGH2"/>
      </w:pPr>
      <w:r>
        <w:t>Schéma simple de progression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FFFFFF"/>
            <w:tcBorders>
              <w:left w:sz="8" w:val="single" w:color="CCCCCC"/>
              <w:top w:sz="8" w:val="single" w:color="CCCCCC"/>
              <w:right w:sz="8" w:val="single" w:color="CCCCCC"/>
              <w:bottom w:sz="8" w:val="single" w:color="CCCCCC"/>
            </w:tcBorders>
          </w:tcPr>
          <w:p>
            <w:r>
              <w:rPr>
                <w:sz w:val="22"/>
              </w:rPr>
              <w:t>Axe 1 (idée directrice)  →  Sous-partie A / B / C  →  Transition</w:t>
              <w:br/>
              <w:t>Axe 2 (idée directrice)  →  Sous-partie A / B / C  →  Transition</w:t>
              <w:br/>
              <w:t>Axe 3 (optionnel)        →  Sous-partie A / B / C</w:t>
            </w:r>
          </w:p>
        </w:tc>
      </w:tr>
    </w:tbl>
    <w:p/>
    <w:p>
      <w:pPr>
        <w:pStyle w:val="CGH1"/>
      </w:pPr>
      <w:r>
        <w:t>4) Rédiger le développement : la structure d’un paragraphe solide</w:t>
      </w:r>
    </w:p>
    <w:p>
      <w:pPr>
        <w:pStyle w:val="CGH2"/>
      </w:pPr>
      <w:r>
        <w:t>La recette en 4 temps</w:t>
      </w:r>
    </w:p>
    <w:p>
      <w:pPr/>
      <w:r>
        <w:t>✓ Annonce de l’idée (phrase directrice).</w:t>
      </w:r>
    </w:p>
    <w:p>
      <w:pPr/>
      <w:r>
        <w:t>✓ Preuve : citation courte (intégrée dans la phrase) ou référence précise.</w:t>
      </w:r>
    </w:p>
    <w:p>
      <w:pPr/>
      <w:r>
        <w:t>✓ Analyse : procédé + effet + interprétation.</w:t>
      </w:r>
    </w:p>
    <w:p>
      <w:pPr/>
      <w:r>
        <w:t>✓ Mini-bilan : lien explicite avec l’axe / la problématique.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1E8A8A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PHRASES OUTILS</w:t>
            </w:r>
          </w:p>
        </w:tc>
        <w:tc>
          <w:tcPr>
            <w:tcW w:type="dxa" w:w="5156"/>
            <w:shd w:val="clear" w:color="auto" w:fill="E6F6F5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On observe que … ; Ce choix de … souligne … ; Ainsi, le texte … ; Cela révèle …</w:t>
            </w:r>
          </w:p>
        </w:tc>
      </w:tr>
    </w:tbl>
    <w:p/>
    <w:p>
      <w:pPr>
        <w:pStyle w:val="CGH2"/>
      </w:pPr>
      <w:r>
        <w:t>Les transitions</w:t>
      </w:r>
    </w:p>
    <w:p>
      <w:pPr/>
      <w:r>
        <w:t>Une transition fait deux choses : elle conclut ce qui précède et elle annonce ce qui suit. Deux à trois phrases suffisent.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1F3A5F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MODÈLE</w:t>
            </w:r>
          </w:p>
        </w:tc>
        <w:tc>
          <w:tcPr>
            <w:tcW w:type="dxa" w:w="5156"/>
            <w:shd w:val="clear" w:color="auto" w:fill="EEF4FB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Ainsi, … (bilan). Pourtant, … (nouvel enjeu). Nous pouvons alors examiner …</w:t>
            </w:r>
          </w:p>
        </w:tc>
      </w:tr>
    </w:tbl>
    <w:p/>
    <w:p>
      <w:pPr>
        <w:pStyle w:val="CGH1"/>
      </w:pPr>
      <w:r>
        <w:t>5) Conclusion : fermer le commentaire proprement</w:t>
      </w:r>
    </w:p>
    <w:p>
      <w:pPr>
        <w:pStyle w:val="CGH2"/>
      </w:pPr>
      <w:r>
        <w:t>En 3 mouvements</w:t>
      </w:r>
    </w:p>
    <w:p>
      <w:pPr/>
      <w:r>
        <w:t>1) Bilan des axes (sans répéter mot pour mot).</w:t>
      </w:r>
    </w:p>
    <w:p>
      <w:pPr/>
      <w:r>
        <w:t>2) Réponse nette à la problématique.</w:t>
      </w:r>
    </w:p>
    <w:p>
      <w:pPr/>
      <w:r>
        <w:t>3) Ouverture courte (facultative) : autre texte, autre enjeu, autre perspective.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B00020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À ÉVITER</w:t>
            </w:r>
          </w:p>
        </w:tc>
        <w:tc>
          <w:tcPr>
            <w:tcW w:type="dxa" w:w="5156"/>
            <w:shd w:val="clear" w:color="auto" w:fill="FBEAEC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Une ouverture “hors-sol” ou une morale générale. Restez dans le texte et son univers.</w:t>
            </w:r>
          </w:p>
        </w:tc>
      </w:tr>
    </w:tbl>
    <w:p/>
    <w:p>
      <w:r>
        <w:br w:type="page"/>
      </w:r>
    </w:p>
    <w:p>
      <w:pPr>
        <w:pStyle w:val="CGH1"/>
      </w:pPr>
      <w:r>
        <w:t>6) Gestion du temps (repère adaptable)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Étape</w:t>
            </w:r>
          </w:p>
        </w:tc>
        <w:tc>
          <w:tcPr>
            <w:tcW w:type="dxa" w:w="3437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Durée (sur 2h)</w:t>
            </w:r>
          </w:p>
        </w:tc>
        <w:tc>
          <w:tcPr>
            <w:tcW w:type="dxa" w:w="3437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Objectif</w:t>
            </w:r>
          </w:p>
        </w:tc>
      </w:tr>
      <w:tr>
        <w:trPr>
          <w:cantSplit/>
        </w:trPr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Lecture + repérages</w:t>
            </w:r>
          </w:p>
        </w:tc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25 min</w:t>
            </w:r>
          </w:p>
        </w:tc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Comprendre, annoter, relever des preuves</w:t>
            </w:r>
          </w:p>
        </w:tc>
      </w:tr>
      <w:tr>
        <w:trPr>
          <w:cantSplit/>
        </w:trPr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Brouillon du plan</w:t>
            </w:r>
          </w:p>
        </w:tc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20 min</w:t>
            </w:r>
          </w:p>
        </w:tc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Problématique + axes + sous-parties</w:t>
            </w:r>
          </w:p>
        </w:tc>
      </w:tr>
      <w:tr>
        <w:trPr>
          <w:cantSplit/>
        </w:trPr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Rédaction</w:t>
            </w:r>
          </w:p>
        </w:tc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65 min</w:t>
            </w:r>
          </w:p>
        </w:tc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Intro + développement + transitions</w:t>
            </w:r>
          </w:p>
        </w:tc>
      </w:tr>
      <w:tr>
        <w:trPr>
          <w:cantSplit/>
        </w:trPr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Conclusion + relecture</w:t>
            </w:r>
          </w:p>
        </w:tc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10 min</w:t>
            </w:r>
          </w:p>
        </w:tc>
        <w:tc>
          <w:tcPr>
            <w:tcW w:type="dxa" w:w="3437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Bilan, correction, cohérence</w:t>
            </w:r>
          </w:p>
        </w:tc>
      </w:tr>
    </w:tbl>
    <w:p/>
    <w:p>
      <w:pPr>
        <w:pStyle w:val="CGH1"/>
      </w:pPr>
      <w:r>
        <w:t>7) Pièges fréquents (et comment les éviter)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Piège</w:t>
            </w:r>
          </w:p>
        </w:tc>
        <w:tc>
          <w:tcPr>
            <w:tcW w:type="dxa" w:w="5156"/>
            <w:shd w:val="clear" w:color="auto" w:fill="EEF4FB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rPr>
                <w:b/>
                <w:color w:val="1F3A5F"/>
              </w:rPr>
              <w:t>Solution simple</w:t>
            </w:r>
          </w:p>
        </w:tc>
      </w:tr>
      <w:tr>
        <w:trPr>
          <w:cantSplit/>
        </w:trPr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Paraphraser le texte</w:t>
            </w:r>
          </w:p>
        </w:tc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Citez peu, analysez beaucoup. Chaque citation doit servir une idée.</w:t>
            </w:r>
          </w:p>
        </w:tc>
      </w:tr>
      <w:tr>
        <w:trPr>
          <w:cantSplit/>
        </w:trPr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Raconter la vie de l’auteur</w:t>
            </w:r>
          </w:p>
        </w:tc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Restez utile : contexte seulement s’il éclaire le passage.</w:t>
            </w:r>
          </w:p>
        </w:tc>
      </w:tr>
      <w:tr>
        <w:trPr>
          <w:cantSplit/>
        </w:trPr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Procédés “catalogue”</w:t>
            </w:r>
          </w:p>
        </w:tc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Un procédé + un effet + un sens. Sinon, cela reste descriptif.</w:t>
            </w:r>
          </w:p>
        </w:tc>
      </w:tr>
      <w:tr>
        <w:trPr>
          <w:cantSplit/>
        </w:trPr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Plan déséquilibré</w:t>
            </w:r>
          </w:p>
        </w:tc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Axe 1 très long / axe 2 très court : ajustez au brouillon.</w:t>
            </w:r>
          </w:p>
        </w:tc>
      </w:tr>
      <w:tr>
        <w:trPr>
          <w:cantSplit/>
        </w:trPr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Conclusion absente</w:t>
            </w:r>
          </w:p>
        </w:tc>
        <w:tc>
          <w:tcPr>
            <w:tcW w:type="dxa" w:w="5156"/>
            <w:shd w:val="clear" w:color="auto" w:fill="FFFFFF"/>
            <w:tcBorders>
              <w:left w:sz="6" w:val="single" w:color="D0D0D0"/>
              <w:top w:sz="6" w:val="single" w:color="D0D0D0"/>
              <w:right w:sz="6" w:val="single" w:color="D0D0D0"/>
              <w:bottom w:sz="6" w:val="single" w:color="D0D0D0"/>
            </w:tcBorders>
          </w:tcPr>
          <w:p>
            <w:r>
              <w:t>Gardez 8-10 minutes : elle valide votre démonstration.</w:t>
            </w:r>
          </w:p>
        </w:tc>
      </w:tr>
    </w:tbl>
    <w:p/>
    <w:p>
      <w:r>
        <w:br w:type="page"/>
      </w:r>
    </w:p>
    <w:p>
      <w:pPr>
        <w:pStyle w:val="CGH1"/>
      </w:pPr>
      <w:r>
        <w:t>8) Grille d’auto-évaluation (avant de rendre la copie)</w:t>
      </w:r>
    </w:p>
    <w:p>
      <w:pPr>
        <w:pStyle w:val="CGH2"/>
      </w:pPr>
      <w:r>
        <w:t>Checklist de relecture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Problématique claire et réellement traitée.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Plan annoncé et respecté ; transitions présentes.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Chaque sous-partie contient des preuves (citations) + analyse.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Citations courtes, intégrées, correctement ponctuées.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Analyse du style (lexique, figures, rythme, syntaxe, temps, point de vue…).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Expression soignée : connecteurs, phrases complètes, orthographe relue.</w:t>
            </w:r>
          </w:p>
        </w:tc>
      </w:tr>
    </w:tbl>
    <w:p/>
    <w:p>
      <w:pPr>
        <w:pStyle w:val="CGH2"/>
      </w:pPr>
      <w:r>
        <w:t>Notes / phrases à réutiliser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rPr>
          <w:cantSplit/>
          <w:trHeight w:val="510" w:hRule="exact"/>
        </w:trPr>
        <w:tc>
          <w:tcPr>
            <w:tcW w:type="dxa" w:w="10312"/>
            <w:shd w:val="clear" w:color="auto" w:fill="FFFFFF"/>
            <w:tcBorders>
              <w:left w:sz="0" w:val="nil"/>
              <w:top w:sz="0" w:val="nil"/>
              <w:right w:sz="0" w:val="nil"/>
              <w:bottom w:sz="10" w:val="single" w:color="E0E0E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510" w:hRule="exact"/>
        </w:trPr>
        <w:tc>
          <w:tcPr>
            <w:tcW w:type="dxa" w:w="10312"/>
            <w:shd w:val="clear" w:color="auto" w:fill="FFFFFF"/>
            <w:tcBorders>
              <w:left w:sz="0" w:val="nil"/>
              <w:top w:sz="0" w:val="nil"/>
              <w:right w:sz="0" w:val="nil"/>
              <w:bottom w:sz="10" w:val="single" w:color="E0E0E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510" w:hRule="exact"/>
        </w:trPr>
        <w:tc>
          <w:tcPr>
            <w:tcW w:type="dxa" w:w="10312"/>
            <w:shd w:val="clear" w:color="auto" w:fill="FFFFFF"/>
            <w:tcBorders>
              <w:left w:sz="0" w:val="nil"/>
              <w:top w:sz="0" w:val="nil"/>
              <w:right w:sz="0" w:val="nil"/>
              <w:bottom w:sz="10" w:val="single" w:color="E0E0E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510" w:hRule="exact"/>
        </w:trPr>
        <w:tc>
          <w:tcPr>
            <w:tcW w:type="dxa" w:w="10312"/>
            <w:shd w:val="clear" w:color="auto" w:fill="FFFFFF"/>
            <w:tcBorders>
              <w:left w:sz="0" w:val="nil"/>
              <w:top w:sz="0" w:val="nil"/>
              <w:right w:sz="0" w:val="nil"/>
              <w:bottom w:sz="10" w:val="single" w:color="E0E0E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510" w:hRule="exact"/>
        </w:trPr>
        <w:tc>
          <w:tcPr>
            <w:tcW w:type="dxa" w:w="10312"/>
            <w:shd w:val="clear" w:color="auto" w:fill="FFFFFF"/>
            <w:tcBorders>
              <w:left w:sz="0" w:val="nil"/>
              <w:top w:sz="0" w:val="nil"/>
              <w:right w:sz="0" w:val="nil"/>
              <w:bottom w:sz="10" w:val="single" w:color="E0E0E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510" w:hRule="exact"/>
        </w:trPr>
        <w:tc>
          <w:tcPr>
            <w:tcW w:type="dxa" w:w="10312"/>
            <w:shd w:val="clear" w:color="auto" w:fill="FFFFFF"/>
            <w:tcBorders>
              <w:left w:sz="0" w:val="nil"/>
              <w:top w:sz="0" w:val="nil"/>
              <w:right w:sz="0" w:val="nil"/>
              <w:bottom w:sz="10" w:val="single" w:color="E0E0E0"/>
            </w:tcBorders>
          </w:tcPr>
          <w:p>
            <w:r>
              <w:t xml:space="preserve"> </w:t>
            </w:r>
          </w:p>
        </w:tc>
      </w:tr>
      <w:tr>
        <w:trPr>
          <w:cantSplit/>
          <w:trHeight w:val="510" w:hRule="exact"/>
        </w:trPr>
        <w:tc>
          <w:tcPr>
            <w:tcW w:type="dxa" w:w="10312"/>
            <w:shd w:val="clear" w:color="auto" w:fill="FFFFFF"/>
            <w:tcBorders>
              <w:left w:sz="0" w:val="nil"/>
              <w:top w:sz="0" w:val="nil"/>
              <w:right w:sz="0" w:val="nil"/>
              <w:bottom w:sz="10" w:val="single" w:color="E0E0E0"/>
            </w:tcBorders>
          </w:tcPr>
          <w:p>
            <w:r>
              <w:t xml:space="preserve"> 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907" w:right="964" w:bottom="907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GTitle">
    <w:name w:val="CG Title"/>
    <w:basedOn w:val="Normal"/>
    <w:pPr>
      <w:spacing w:before="0" w:after="0"/>
    </w:pPr>
    <w:rPr>
      <w:rFonts w:ascii="Calibri" w:hAnsi="Calibri"/>
      <w:b/>
      <w:color w:val="FFFFFF"/>
      <w:sz w:val="40"/>
    </w:rPr>
  </w:style>
  <w:style w:type="paragraph" w:customStyle="1" w:styleId="CGSubtitle">
    <w:name w:val="CG Subtitle"/>
    <w:basedOn w:val="Normal"/>
    <w:pPr>
      <w:spacing w:before="120" w:after="120"/>
    </w:pPr>
    <w:rPr>
      <w:rFonts w:ascii="Calibri" w:hAnsi="Calibri"/>
      <w:b/>
      <w:color w:val="1F3A5F"/>
      <w:sz w:val="24"/>
    </w:rPr>
  </w:style>
  <w:style w:type="paragraph" w:customStyle="1" w:styleId="CGH1">
    <w:name w:val="CG H1"/>
    <w:basedOn w:val="Normal"/>
    <w:pPr>
      <w:spacing w:before="280" w:after="120"/>
    </w:pPr>
    <w:rPr>
      <w:rFonts w:ascii="Calibri" w:hAnsi="Calibri"/>
      <w:b/>
      <w:color w:val="1F3A5F"/>
      <w:sz w:val="32"/>
    </w:rPr>
  </w:style>
  <w:style w:type="paragraph" w:customStyle="1" w:styleId="CGH2">
    <w:name w:val="CG H2"/>
    <w:basedOn w:val="Normal"/>
    <w:pPr>
      <w:spacing w:before="200" w:after="80"/>
    </w:pPr>
    <w:rPr>
      <w:rFonts w:ascii="Calibri" w:hAnsi="Calibri"/>
      <w:b/>
      <w:color w:val="1F3A5F"/>
      <w:sz w:val="26"/>
    </w:rPr>
  </w:style>
  <w:style w:type="paragraph" w:customStyle="1" w:styleId="CGSmall">
    <w:name w:val="CG Small"/>
    <w:basedOn w:val="Normal"/>
    <w:pPr>
      <w:spacing w:before="40" w:after="40"/>
    </w:pPr>
    <w:rPr>
      <w:rFonts w:ascii="Calibri" w:hAnsi="Calibri"/>
      <w:b w:val="0"/>
      <w:color w:val="555555"/>
      <w:sz w:val="20"/>
    </w:rPr>
  </w:style>
  <w:style w:type="paragraph" w:customStyle="1" w:styleId="CGTip">
    <w:name w:val="CG Tip"/>
    <w:basedOn w:val="Normal"/>
    <w:pPr>
      <w:spacing w:before="80" w:after="80"/>
    </w:pPr>
    <w:rPr>
      <w:rFonts w:ascii="Calibri" w:hAnsi="Calibri"/>
      <w:b w:val="0"/>
      <w:color w:val="0E5A6D"/>
      <w:sz w:val="22"/>
    </w:rPr>
  </w:style>
  <w:style w:type="paragraph" w:customStyle="1" w:styleId="CGDanger">
    <w:name w:val="CG Danger"/>
    <w:basedOn w:val="Normal"/>
    <w:pPr>
      <w:spacing w:before="80" w:after="80"/>
    </w:pPr>
    <w:rPr>
      <w:rFonts w:ascii="Calibri" w:hAnsi="Calibri"/>
      <w:b w:val="0"/>
      <w:color w:val="8A1E2C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