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rPr>
      </w:pPr>
      <w:r w:rsidDel="00000000" w:rsidR="00000000" w:rsidRPr="00000000">
        <w:rPr>
          <w:rFonts w:ascii="Calibri" w:cs="Calibri" w:eastAsia="Calibri" w:hAnsi="Calibri"/>
          <w:b w:val="1"/>
          <w:bCs w:val="1"/>
          <w:rtl w:val="0"/>
        </w:rPr>
        <w:t xml:space="preserve">&lt;h1&gt;</w:t>
      </w:r>
      <w:r w:rsidDel="00000000" w:rsidR="00000000" w:rsidRPr="00000000">
        <w:rPr>
          <w:b w:val="1"/>
          <w:bCs w:val="1"/>
          <w:rtl w:val="0"/>
        </w:rPr>
        <w:t xml:space="preserve">Les opportunités se multiplient alors que la Tunisie s’emploie à renforcer sa réputation dans le secteur technologique&lt;/h1&gt;</w:t>
      </w:r>
    </w:p>
    <w:p w:rsidR="00000000" w:rsidDel="00000000" w:rsidP="00000000" w:rsidRDefault="00000000" w:rsidRPr="00000000" w14:paraId="00000002">
      <w:pPr>
        <w:spacing w:after="240" w:before="240" w:lineRule="auto"/>
        <w:rPr>
          <w:b w:val="1"/>
          <w:bCs w:val="1"/>
        </w:rPr>
      </w:pPr>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rtl w:val="0"/>
        </w:rPr>
        <w:t xml:space="preserve">À Tunis, Sfax ou Sousse, la tech n’est plus une promesse lointaine : elle s’affirme comme une trajectoire solide, portée par une génération tournée vers l’international. La Tunisie a construit, avec méthode, un écosystème numérique dynamique grâce à des réformes, un investissement soutenu dans l’éducation et un effort ancien sur les infrastructures digitales.</w:t>
      </w:r>
    </w:p>
    <w:p w:rsidR="00000000" w:rsidDel="00000000" w:rsidP="00000000" w:rsidRDefault="00000000" w:rsidRPr="00000000" w14:paraId="00000004">
      <w:pPr>
        <w:spacing w:after="240" w:before="240" w:lineRule="auto"/>
        <w:rPr/>
      </w:pPr>
      <w:r w:rsidDel="00000000" w:rsidR="00000000" w:rsidRPr="00000000">
        <w:rPr>
          <w:rtl w:val="0"/>
        </w:rPr>
        <w:t xml:space="preserve">Le secteur technologique pèserait autour de 7 % du PIB et représenterait plus de 100 000 emplois, signe d’un marché qui s’ancre dans le réel. À cela s’ajoute un avantage stratégique : la position du pays, à la jonction de l’Europe, de l’Afrique et du Moyen-Orient, qui en fait une base naturelle pour les entreprises visant plusieurs marchés.</w:t>
      </w:r>
    </w:p>
    <w:p w:rsidR="00000000" w:rsidDel="00000000" w:rsidP="00000000" w:rsidRDefault="00000000" w:rsidRPr="00000000" w14:paraId="00000005">
      <w:pPr>
        <w:spacing w:after="240" w:before="240" w:lineRule="auto"/>
        <w:rPr/>
      </w:pPr>
      <w:r w:rsidDel="00000000" w:rsidR="00000000" w:rsidRPr="00000000">
        <w:rPr>
          <w:rtl w:val="0"/>
        </w:rPr>
        <w:t xml:space="preserve">Dans un environnement jugé compétitif, la main-d’œuvre multilingue (arabe, français, anglais) donne aux start-up une portée internationale immédiate. Plus de 300 jeunes entreprises auraient ainsi émergé, de la fintech à l’IA, en passant par l’e-commerce, la health tech et les logiciels pour entreprises. Soutenue par un appui institutionnel, cette dynamique entre désormais dans une phase décisive : celle de la consolidation et des prochaines grandes opportunités.</w:t>
      </w:r>
    </w:p>
    <w:p w:rsidR="00000000" w:rsidDel="00000000" w:rsidP="00000000" w:rsidRDefault="00000000" w:rsidRPr="00000000" w14:paraId="00000006">
      <w:pPr>
        <w:spacing w:after="240" w:before="240" w:lineRule="auto"/>
        <w:rPr/>
      </w:pP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b w:val="1"/>
          <w:bCs w:val="1"/>
          <w:color w:val="000000"/>
          <w:sz w:val="22"/>
          <w:szCs w:val="22"/>
        </w:rPr>
      </w:pPr>
      <w:bookmarkStart w:colFirst="0" w:colLast="0" w:name="_a33ehnbgq77u" w:id="0"/>
      <w:bookmarkEnd w:id="0"/>
      <w:r w:rsidDel="00000000" w:rsidR="00000000" w:rsidRPr="00000000">
        <w:rPr>
          <w:rFonts w:ascii="Calibri" w:cs="Calibri" w:eastAsia="Calibri" w:hAnsi="Calibri"/>
          <w:b w:val="1"/>
          <w:bCs w:val="1"/>
          <w:color w:val="000000"/>
          <w:sz w:val="22"/>
          <w:szCs w:val="22"/>
          <w:rtl w:val="0"/>
        </w:rPr>
        <w:t xml:space="preserve">&lt;h2&gt;</w:t>
      </w:r>
      <w:r w:rsidDel="00000000" w:rsidR="00000000" w:rsidRPr="00000000">
        <w:rPr>
          <w:b w:val="1"/>
          <w:bCs w:val="1"/>
          <w:color w:val="000000"/>
          <w:sz w:val="26"/>
          <w:szCs w:val="26"/>
          <w:rtl w:val="0"/>
        </w:rPr>
        <w:t xml:space="preserve">Incitations fiscales et financements, l’ossature d’une croissance accélérée</w:t>
      </w:r>
      <w:r w:rsidDel="00000000" w:rsidR="00000000" w:rsidRPr="00000000">
        <w:rPr>
          <w:b w:val="1"/>
          <w:bCs w:val="1"/>
          <w:color w:val="000000"/>
          <w:sz w:val="22"/>
          <w:szCs w:val="22"/>
          <w:rtl w:val="0"/>
        </w:rPr>
        <w:t xml:space="preserve">&lt;/h2&gt;</w:t>
      </w:r>
    </w:p>
    <w:p w:rsidR="00000000" w:rsidDel="00000000" w:rsidP="00000000" w:rsidRDefault="00000000" w:rsidRPr="00000000" w14:paraId="00000008">
      <w:pPr>
        <w:pStyle w:val="Heading3"/>
        <w:keepNext w:val="0"/>
        <w:keepLines w:val="0"/>
        <w:spacing w:before="280" w:lineRule="auto"/>
        <w:rPr>
          <w:color w:val="000000"/>
          <w:sz w:val="26"/>
          <w:szCs w:val="26"/>
        </w:rPr>
      </w:pPr>
      <w:bookmarkStart w:colFirst="0" w:colLast="0" w:name="_sygbery8c9a" w:id="1"/>
      <w:bookmarkEnd w:id="1"/>
      <w:r w:rsidDel="00000000" w:rsidR="00000000" w:rsidRPr="00000000">
        <w:rPr>
          <w:rtl w:val="0"/>
        </w:rPr>
      </w:r>
    </w:p>
    <w:p w:rsidR="00000000" w:rsidDel="00000000" w:rsidP="00000000" w:rsidRDefault="00000000" w:rsidRPr="00000000" w14:paraId="00000009">
      <w:pPr>
        <w:spacing w:after="240" w:before="240" w:lineRule="auto"/>
        <w:rPr/>
      </w:pPr>
      <w:r w:rsidDel="00000000" w:rsidR="00000000" w:rsidRPr="00000000">
        <w:rPr>
          <w:rtl w:val="0"/>
        </w:rPr>
        <w:t xml:space="preserve"> En 2018, la Tunisie a franchi un cap discret mais décisif avec la Start-up Act. En rendant la création d’entreprise plus fluide, en introduisant des incitations fiscales et en élargissant l’accès aux financements, ce texte a donné une traduction concrète à l’ambition technologique du pays : passer des discours à une méthode, et des idées à des entreprises capables de grandir.</w:t>
      </w:r>
    </w:p>
    <w:p w:rsidR="00000000" w:rsidDel="00000000" w:rsidP="00000000" w:rsidRDefault="00000000" w:rsidRPr="00000000" w14:paraId="0000000A">
      <w:pPr>
        <w:spacing w:after="240" w:before="240" w:lineRule="auto"/>
        <w:rPr/>
      </w:pPr>
      <w:r w:rsidDel="00000000" w:rsidR="00000000" w:rsidRPr="00000000">
        <w:rPr>
          <w:rtl w:val="0"/>
        </w:rPr>
        <w:t xml:space="preserve"> Surtout, il a envoyé un signal lisible aux investisseurs internationaux : la Tunisie ne se contente pas de “parler innovation”, elle organise concrètement l’accueil des entrepreneurs. Fonds de capital-risque et réseaux de business angels ont saisi l’opportunité, attirés par un marché en structuration et par une ambition assumée.</w:t>
      </w:r>
    </w:p>
    <w:p w:rsidR="00000000" w:rsidDel="00000000" w:rsidP="00000000" w:rsidRDefault="00000000" w:rsidRPr="00000000" w14:paraId="0000000B">
      <w:pPr>
        <w:spacing w:after="240" w:before="240" w:lineRule="auto"/>
        <w:rPr/>
      </w:pPr>
      <w:r w:rsidDel="00000000" w:rsidR="00000000" w:rsidRPr="00000000">
        <w:rPr>
          <w:rtl w:val="0"/>
        </w:rPr>
        <w:t xml:space="preserve">Dans son sillage, l’écosystème s’est densifié. Technopôles, accélérateurs, partenariats public-privé : ces dispositifs ont progressivement réduit les obstacles qui ralentissent souvent les premières années d’une start-up — démarches, accès au réseau, premier financement, mise sur le marché. L’idée est simple, presque pragmatique : limiter la friction au démarrage, puis offrir un accompagnement capable d’aider les jeunes pousses à changer d’échelle plus rapidement, sans perdre leur agilité.</w:t>
      </w:r>
    </w:p>
    <w:p w:rsidR="00000000" w:rsidDel="00000000" w:rsidP="00000000" w:rsidRDefault="00000000" w:rsidRPr="00000000" w14:paraId="0000000C">
      <w:pPr>
        <w:spacing w:after="240" w:before="240" w:lineRule="auto"/>
        <w:rPr/>
      </w:pPr>
      <w:r w:rsidDel="00000000" w:rsidR="00000000" w:rsidRPr="00000000">
        <w:rPr>
          <w:rtl w:val="0"/>
        </w:rPr>
        <w:t xml:space="preserve">La preuve la plus parlante, toutefois, s’écrit à l’international. Car la crédibilité d’un hub technologique se mesure moins à ses slogans qu’à la capacité de ses entreprises à s’imposer hors de leurs frontières. Expensya illustre cette maturité : l’entreprise a bâti des solutions de gestion automatisée des notes de frais, aujourd’hui utilisées par des organisations à travers l’Europe et au-delà — signe que l’innovation tunisienne sait répondre à des exigences globales, en matière de conformité, d’intégration et de fiabilité.</w:t>
      </w:r>
    </w:p>
    <w:p w:rsidR="00000000" w:rsidDel="00000000" w:rsidP="00000000" w:rsidRDefault="00000000" w:rsidRPr="00000000" w14:paraId="0000000D">
      <w:pPr>
        <w:spacing w:after="240" w:before="240" w:lineRule="auto"/>
        <w:rPr/>
      </w:pPr>
      <w:r w:rsidDel="00000000" w:rsidR="00000000" w:rsidRPr="00000000">
        <w:rPr>
          <w:rtl w:val="0"/>
        </w:rPr>
        <w:t xml:space="preserve">Même dynamique pour InstaDeep, passé du statut de jeune structure tunisienne en intelligence artificielle à celui de spécialiste du deep learning reconnu à l’échelle mondiale. Son acquisition par</w:t>
      </w:r>
      <w:hyperlink r:id="rId6">
        <w:r w:rsidDel="00000000" w:rsidR="00000000" w:rsidRPr="00000000">
          <w:rPr>
            <w:b w:val="1"/>
            <w:bCs w:val="1"/>
            <w:color w:val="1155cc"/>
            <w:u w:val="single"/>
            <w:rtl w:val="0"/>
          </w:rPr>
          <w:t xml:space="preserve"> BioNTech</w:t>
        </w:r>
      </w:hyperlink>
      <w:r w:rsidDel="00000000" w:rsidR="00000000" w:rsidRPr="00000000">
        <w:rPr>
          <w:rtl w:val="0"/>
        </w:rPr>
        <w:t xml:space="preserve"> a marqué un moment fort, et son travail durant la pandémie de COVID-19 reste souvent cité comme un exemple de la capacité tunisienne à évoluer au contact direct de la recherche de pointe. Dans un autre registre, Dabchy s’est imposée comme une référence de la revente de mode durable au Moyen-Orient et en Afrique du Nord, tandis que Cynoia accompagne les entreprises de la région sur des enjeux très concrets de collaboration et de productivité. Enova Robotics, enfin, rappelle que la scène tunisienne ne se limite pas aux logiciels : elle sait aussi concevoir du matériel, l’industrialiser, et tenir la promesse du “hardware” — terrain plus exigeant, car soumis aux contraintes de production et de fiabilité.</w:t>
      </w:r>
    </w:p>
    <w:p w:rsidR="00000000" w:rsidDel="00000000" w:rsidP="00000000" w:rsidRDefault="00000000" w:rsidRPr="00000000" w14:paraId="0000000E">
      <w:pPr>
        <w:spacing w:after="240" w:before="240" w:lineRule="auto"/>
        <w:rPr/>
      </w:pPr>
      <w:r w:rsidDel="00000000" w:rsidR="00000000" w:rsidRPr="00000000">
        <w:rPr>
          <w:rtl w:val="0"/>
        </w:rPr>
        <w:t xml:space="preserve">Un trait de fond mérite également d’être souligné : l’innovation se veut inclusive, et la visibilité des équipes dirigées par des femmes en est un indicateur. Les créateurs de la technologie de fauteuil roulant intelligent Moovobrain en offrent une illustration marquante, révélatrice d’un écosystème qui cherche à élargir ses profils, à desserrer les héritages culturels et à faire de l’entrepreneuriat un espace davantage ouvert.</w:t>
      </w:r>
    </w:p>
    <w:p w:rsidR="00000000" w:rsidDel="00000000" w:rsidP="00000000" w:rsidRDefault="00000000" w:rsidRPr="00000000" w14:paraId="0000000F">
      <w:pPr>
        <w:spacing w:after="240" w:before="240" w:lineRule="auto"/>
        <w:rPr/>
      </w:pPr>
      <w:r w:rsidDel="00000000" w:rsidR="00000000" w:rsidRPr="00000000">
        <w:rPr>
          <w:rtl w:val="0"/>
        </w:rPr>
        <w:t xml:space="preserve">Derrière ces trajectoires, un réseau de soutien joue un rôle d’amplificateur. Des universités telles que l’INSAT et ESPRIT alimentent régulièrement le secteur en diplômés techniquement solides, déjà familiers des logiques produit et des méthodes de projet. Les incubateurs et accélérateurs — Flat6Labs Tunisia notamment, ainsi que des hubs appuyés par Smart Capital — offrent mentorat, amorçage, et accès à des investisseurs prêts à miser sur l’innovation. À cet appui privé s’ajoutent des canaux publics de financement, permettant à certaines start-up d’obtenir des prêts via des banques soutenues par l’État, complétant ainsi les tours de table classiques au moment critique des premiers mois.</w:t>
      </w:r>
    </w:p>
    <w:p w:rsidR="00000000" w:rsidDel="00000000" w:rsidP="00000000" w:rsidRDefault="00000000" w:rsidRPr="00000000" w14:paraId="00000010">
      <w:pPr>
        <w:spacing w:after="240" w:before="240" w:lineRule="auto"/>
        <w:rPr/>
      </w:pPr>
      <w:r w:rsidDel="00000000" w:rsidR="00000000" w:rsidRPr="00000000">
        <w:rPr>
          <w:rtl w:val="0"/>
        </w:rPr>
        <w:t xml:space="preserve">In fine, la Tunisie s’équipe d’une architecture qui sécurise l’audace : encourager, financer, accompagner — et donner aux entrepreneurs les marges nécessaires pour expérimenter, itérer et grandir à grande échelle, sans que la prudence administrative n’étouffe l’élan.</w:t>
      </w:r>
    </w:p>
    <w:p w:rsidR="00000000" w:rsidDel="00000000" w:rsidP="00000000" w:rsidRDefault="00000000" w:rsidRPr="00000000" w14:paraId="00000011">
      <w:pPr>
        <w:pStyle w:val="Heading3"/>
        <w:keepNext w:val="0"/>
        <w:keepLines w:val="0"/>
        <w:spacing w:before="280" w:lineRule="auto"/>
        <w:rPr>
          <w:b w:val="1"/>
          <w:bCs w:val="1"/>
          <w:color w:val="000000"/>
          <w:sz w:val="22"/>
          <w:szCs w:val="22"/>
        </w:rPr>
      </w:pPr>
      <w:bookmarkStart w:colFirst="0" w:colLast="0" w:name="_rkec7cwx2rfn" w:id="2"/>
      <w:bookmarkEnd w:id="2"/>
      <w:r w:rsidDel="00000000" w:rsidR="00000000" w:rsidRPr="00000000">
        <w:rPr>
          <w:rFonts w:ascii="Calibri" w:cs="Calibri" w:eastAsia="Calibri" w:hAnsi="Calibri"/>
          <w:b w:val="1"/>
          <w:bCs w:val="1"/>
          <w:color w:val="000000"/>
          <w:sz w:val="22"/>
          <w:szCs w:val="22"/>
          <w:rtl w:val="0"/>
        </w:rPr>
        <w:t xml:space="preserve">&lt;h1&gt;</w:t>
      </w:r>
      <w:r w:rsidDel="00000000" w:rsidR="00000000" w:rsidRPr="00000000">
        <w:rPr>
          <w:b w:val="1"/>
          <w:bCs w:val="1"/>
          <w:color w:val="000000"/>
          <w:sz w:val="26"/>
          <w:szCs w:val="26"/>
          <w:rtl w:val="0"/>
        </w:rPr>
        <w:t xml:space="preserve">Un marché iGaming encore peu exploité, un potentiel considérable pour la Tunisie</w:t>
      </w:r>
      <w:r w:rsidDel="00000000" w:rsidR="00000000" w:rsidRPr="00000000">
        <w:rPr>
          <w:b w:val="1"/>
          <w:bCs w:val="1"/>
          <w:color w:val="000000"/>
          <w:sz w:val="22"/>
          <w:szCs w:val="22"/>
          <w:rtl w:val="0"/>
        </w:rPr>
        <w:t xml:space="preserve">&lt;/h1&gt;</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784jfjsz5ie" w:id="3"/>
      <w:bookmarkEnd w:id="3"/>
      <w:r w:rsidDel="00000000" w:rsidR="00000000" w:rsidRPr="00000000">
        <w:rPr>
          <w:rtl w:val="0"/>
        </w:rPr>
      </w:r>
    </w:p>
    <w:p w:rsidR="00000000" w:rsidDel="00000000" w:rsidP="00000000" w:rsidRDefault="00000000" w:rsidRPr="00000000" w14:paraId="00000013">
      <w:pPr>
        <w:spacing w:after="240" w:before="240" w:lineRule="auto"/>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Malgré l’essor déjà bien engagé du secteur technologique tunisien, les marges de progression restent considérables.</w:t>
      </w:r>
    </w:p>
    <w:p w:rsidR="00000000" w:rsidDel="00000000" w:rsidP="00000000" w:rsidRDefault="00000000" w:rsidRPr="00000000" w14:paraId="00000015">
      <w:pPr>
        <w:spacing w:after="240" w:before="240" w:lineRule="auto"/>
        <w:rPr/>
      </w:pPr>
      <w:r w:rsidDel="00000000" w:rsidR="00000000" w:rsidRPr="00000000">
        <w:rPr>
          <w:rtl w:val="0"/>
        </w:rPr>
        <w:t xml:space="preserve">Un exemple parlant : l’émergence d’un marché de l’iGaming encadré par la loi pourrait devenir un puissant accélérateur, à condition que l’écosystème tech suive et se renforce. Alors que les autorités réexaminent la réglementation relative aux jeux d’argent, une dynamique se dessine en faveur de règles plus lisibles et d’une supervision plus rigoureuse.</w:t>
      </w:r>
    </w:p>
    <w:p w:rsidR="00000000" w:rsidDel="00000000" w:rsidP="00000000" w:rsidRDefault="00000000" w:rsidRPr="00000000" w14:paraId="00000016">
      <w:pPr>
        <w:spacing w:after="240" w:before="240" w:lineRule="auto"/>
        <w:rPr/>
      </w:pPr>
      <w:r w:rsidDel="00000000" w:rsidR="00000000" w:rsidRPr="00000000">
        <w:rPr>
          <w:rtl w:val="0"/>
        </w:rPr>
        <w:t xml:space="preserve">Le nouveau cadre envisagé doit rapprocher le jeu en ligne des standards internationaux. Dans cette trajectoire, le secteur technologique a un rôle central à jouer. Les utilisateurs qui fréquentent un </w:t>
      </w:r>
      <w:hyperlink r:id="rId7">
        <w:r w:rsidDel="00000000" w:rsidR="00000000" w:rsidRPr="00000000">
          <w:rPr>
            <w:b w:val="1"/>
            <w:bCs w:val="1"/>
            <w:color w:val="1155cc"/>
            <w:u w:val="single"/>
            <w:rtl w:val="0"/>
          </w:rPr>
          <w:t xml:space="preserve">casino en ligne en Tunisie</w:t>
        </w:r>
      </w:hyperlink>
      <w:r w:rsidDel="00000000" w:rsidR="00000000" w:rsidRPr="00000000">
        <w:rPr>
          <w:rtl w:val="0"/>
        </w:rPr>
        <w:t xml:space="preserve">       </w:t>
      </w:r>
      <w:r w:rsidDel="00000000" w:rsidR="00000000" w:rsidRPr="00000000">
        <w:rPr>
          <w:rtl w:val="0"/>
        </w:rPr>
        <w:t xml:space="preserve"> attendent des exigences élevées en matière de paiements, d’expérience utilisateur et de cybersécurité. Un encadrement renforcé a précisément vocation à garantir ces fondamentaux.</w:t>
      </w:r>
    </w:p>
    <w:p w:rsidR="00000000" w:rsidDel="00000000" w:rsidP="00000000" w:rsidRDefault="00000000" w:rsidRPr="00000000" w14:paraId="00000017">
      <w:pPr>
        <w:spacing w:after="240" w:before="240" w:lineRule="auto"/>
        <w:rPr/>
      </w:pPr>
      <w:r w:rsidDel="00000000" w:rsidR="00000000" w:rsidRPr="00000000">
        <w:rPr>
          <w:rtl w:val="0"/>
        </w:rPr>
        <w:t xml:space="preserve">Les opérateurs mis en avant par la plateforme comparative haz-tayeb.com se distinguent déjà par la qualité de leurs infrastructures de paiement, leurs dispositifs de vérification d’identité, leurs standards de cybersécurité et leur capacité à monter en charge.</w:t>
      </w:r>
    </w:p>
    <w:p w:rsidR="00000000" w:rsidDel="00000000" w:rsidP="00000000" w:rsidRDefault="00000000" w:rsidRPr="00000000" w14:paraId="00000018">
      <w:pPr>
        <w:spacing w:after="240" w:before="240" w:lineRule="auto"/>
        <w:rPr/>
      </w:pPr>
      <w:r w:rsidDel="00000000" w:rsidR="00000000" w:rsidRPr="00000000">
        <w:rPr>
          <w:rtl w:val="0"/>
        </w:rPr>
        <w:t xml:space="preserve">Au-delà de l’usage domestique, la Tunisie peut faire de l’iGaming un service numérique exportable, capable de générer des recettes fiscales, de créer des emplois et de stimuler des partenariats internationaux.</w:t>
      </w:r>
    </w:p>
    <w:p w:rsidR="00000000" w:rsidDel="00000000" w:rsidP="00000000" w:rsidRDefault="00000000" w:rsidRPr="00000000" w14:paraId="00000019">
      <w:pPr>
        <w:spacing w:after="240" w:before="240" w:lineRule="auto"/>
        <w:rPr/>
      </w:pPr>
      <w:r w:rsidDel="00000000" w:rsidR="00000000" w:rsidRPr="00000000">
        <w:rPr>
          <w:rtl w:val="0"/>
        </w:rPr>
        <w:t xml:space="preserve">Plus largement, l’écosystème technologique tunisien entre dans une phase de maturité accrue. Les décideurs actualisent les dispositifs dédiés aux start-up, les investisseurs mobilisent davantage de capital, et les fondateurs conçoivent leurs produits dès l’origine avec des marchés internationaux en ligne de mire.</w:t>
      </w:r>
    </w:p>
    <w:p w:rsidR="00000000" w:rsidDel="00000000" w:rsidP="00000000" w:rsidRDefault="00000000" w:rsidRPr="00000000" w14:paraId="0000001A">
      <w:pPr>
        <w:spacing w:after="240" w:before="240" w:lineRule="auto"/>
        <w:rPr/>
      </w:pPr>
      <w:r w:rsidDel="00000000" w:rsidR="00000000" w:rsidRPr="00000000">
        <w:rPr>
          <w:rtl w:val="0"/>
        </w:rPr>
        <w:t xml:space="preserve">Parallèlement, le pays enregistre des avancées notables dans d’autres domaines, notamment l’intelligence artificielle, l’analyse de données, les sciences du vivant et les technologies orientées climat.</w:t>
      </w:r>
    </w:p>
    <w:p w:rsidR="00000000" w:rsidDel="00000000" w:rsidP="00000000" w:rsidRDefault="00000000" w:rsidRPr="00000000" w14:paraId="0000001B">
      <w:pPr>
        <w:spacing w:after="240" w:before="240" w:lineRule="auto"/>
        <w:rPr/>
      </w:pPr>
      <w:r w:rsidDel="00000000" w:rsidR="00000000" w:rsidRPr="00000000">
        <w:rPr>
          <w:rtl w:val="0"/>
        </w:rPr>
        <w:t xml:space="preserve">Des défis demeurent, en particulier sur le financement des étapes tardives et la rétention des meilleurs talents, mais la direction est nette. La Tunisie cherche à tirer le maximum de son </w:t>
      </w:r>
      <w:hyperlink r:id="rId8">
        <w:r w:rsidDel="00000000" w:rsidR="00000000" w:rsidRPr="00000000">
          <w:rPr>
            <w:b w:val="1"/>
            <w:bCs w:val="1"/>
            <w:color w:val="1155cc"/>
            <w:u w:val="single"/>
            <w:rtl w:val="0"/>
          </w:rPr>
          <w:t xml:space="preserve">potentiel économique</w:t>
        </w:r>
      </w:hyperlink>
      <w:r w:rsidDel="00000000" w:rsidR="00000000" w:rsidRPr="00000000">
        <w:rPr>
          <w:rtl w:val="0"/>
        </w:rPr>
        <w:t xml:space="preserve">, en entretenant l’élan de l’innovation et en réunissant les briques essentielles d’une économie d’avenir, structurée par le numérique.</w:t>
      </w:r>
    </w:p>
    <w:p w:rsidR="00000000" w:rsidDel="00000000" w:rsidP="00000000" w:rsidRDefault="00000000" w:rsidRPr="00000000" w14:paraId="0000001C">
      <w:pPr>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investors.biontech.de/news-releases/news-release-details/biontech-acquire-instadeep-strengthen-pioneering-position-field" TargetMode="External"/><Relationship Id="rId7" Type="http://schemas.openxmlformats.org/officeDocument/2006/relationships/hyperlink" Target="https://haz-tayeb.com/fr/casino-en-ligne-tunisie/" TargetMode="External"/><Relationship Id="rId8" Type="http://schemas.openxmlformats.org/officeDocument/2006/relationships/hyperlink" Target="https://www.linfodrome.com/economie/116360-produits-de-base-croissance-et-inflation-les-dynamiques-economiques-africaines-en-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