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4140"/>
      </w:tblGrid>
      <w:tr>
        <w:tc>
          <w:tcPr>
            <w:tcW w:type="dxa" w:w="14140"/>
            <w:shd w:val="clear" w:color="auto" w:fill="1F4E79"/>
            <w:tcMar>
              <w:top w:w="140" w:type="dxa"/>
              <w:start w:w="180" w:type="dxa"/>
              <w:bottom w:w="14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rFonts w:ascii="Calibri" w:hAnsi="Calibri" w:eastAsia="Calibri"/>
                <w:b/>
                <w:color w:val="FFFFFF"/>
                <w:sz w:val="44"/>
              </w:rPr>
              <w:t>KPI de notoriété (Brand Awareness)</w:t>
              <w:br/>
            </w:r>
            <w:r>
              <w:rPr>
                <w:rFonts w:ascii="Calibri" w:hAnsi="Calibri" w:eastAsia="Calibri"/>
                <w:b w:val="0"/>
                <w:color w:val="FFFFFF"/>
                <w:sz w:val="22"/>
              </w:rPr>
              <w:t>Liste complète, formules decomposées, et lecture rapide (marketing - communication - digital)</w:t>
            </w:r>
          </w:p>
        </w:tc>
      </w:tr>
    </w:tbl>
    <w:p/>
    <w:p>
      <w:r>
        <w:rPr>
          <w:b/>
          <w:color w:val="1F4E79"/>
          <w:sz w:val="28"/>
        </w:rPr>
        <w:t>Mode d'emploi (en 3 minutes)</w:t>
      </w:r>
    </w:p>
    <w:p>
      <w:pPr>
        <w:spacing w:after="120"/>
      </w:pPr>
      <w:r>
        <w:rPr>
          <w:b w:val="0"/>
          <w:sz w:val="21"/>
        </w:rPr>
        <w:t>1) Choisissez 6 a 10 KPI selon vos canaux.  2) Fixez une periode (semaine, mois, campagne).  3) Renseignez les sources (enquete, analytics, social listening) et calculez avec les formules ci-dessous.</w:t>
      </w:r>
    </w:p>
    <w:p>
      <w:r>
        <w:rPr>
          <w:b/>
          <w:color w:val="1F4E79"/>
          <w:sz w:val="28"/>
        </w:rPr>
        <w:t>Conventions de calcul</w:t>
      </w:r>
    </w:p>
    <w:p>
      <w:pPr>
        <w:pStyle w:val="ListBullet"/>
        <w:spacing w:after="20"/>
      </w:pPr>
      <w:r>
        <w:t>Toujours indiquer la cible (grand public, B2B, region, segment) et la taille d'echantillon pour les enquêtes.</w:t>
      </w:r>
    </w:p>
    <w:p>
      <w:pPr>
        <w:pStyle w:val="ListBullet"/>
        <w:spacing w:after="20"/>
      </w:pPr>
      <w:r>
        <w:t>Pour les ratios en %, utiliser la meme periode au numerateur et au denominateur.</w:t>
      </w:r>
    </w:p>
    <w:p>
      <w:pPr>
        <w:pStyle w:val="ListBullet"/>
        <w:spacing w:after="20"/>
      </w:pPr>
      <w:r>
        <w:t>Impressions = expositions totales ; Reach = personnes uniques exposees ; Frequence = Impressions / Reach.</w:t>
      </w:r>
    </w:p>
    <w:p>
      <w:pPr>
        <w:pStyle w:val="ListBullet"/>
        <w:spacing w:after="20"/>
      </w:pPr>
      <w:r>
        <w:t>Pour les comparaisons (avant/apres), garder un protocole identique : questionnaire, canaux, ponderation, fenetre de mesure.</w:t>
      </w:r>
    </w:p>
    <w:p/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2828"/>
        <w:gridCol w:w="2828"/>
        <w:gridCol w:w="2828"/>
        <w:gridCol w:w="2828"/>
        <w:gridCol w:w="2828"/>
      </w:tblGrid>
      <w:tr>
        <w:tc>
          <w:tcPr>
            <w:tcW w:type="dxa" w:w="2828"/>
            <w:tcMar>
              <w:top w:w="60" w:type="dxa"/>
              <w:start w:w="120" w:type="dxa"/>
              <w:bottom w:w="60" w:type="dxa"/>
              <w:end w:w="120" w:type="dxa"/>
            </w:tcMar>
            <w:shd w:val="clear" w:color="auto" w:fill="2F5597"/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Etudes &amp; Brand Lift</w:t>
            </w:r>
          </w:p>
        </w:tc>
        <w:tc>
          <w:tcPr>
            <w:tcW w:type="dxa" w:w="2828"/>
            <w:tcMar>
              <w:top w:w="60" w:type="dxa"/>
              <w:start w:w="120" w:type="dxa"/>
              <w:bottom w:w="60" w:type="dxa"/>
              <w:end w:w="120" w:type="dxa"/>
            </w:tcMar>
            <w:shd w:val="clear" w:color="auto" w:fill="2E7D32"/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Digital &amp; SEO</w:t>
            </w:r>
          </w:p>
        </w:tc>
        <w:tc>
          <w:tcPr>
            <w:tcW w:type="dxa" w:w="2828"/>
            <w:tcMar>
              <w:top w:w="60" w:type="dxa"/>
              <w:start w:w="120" w:type="dxa"/>
              <w:bottom w:w="60" w:type="dxa"/>
              <w:end w:w="120" w:type="dxa"/>
            </w:tcMar>
            <w:shd w:val="clear" w:color="auto" w:fill="6A1B9A"/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Social &amp; PR</w:t>
            </w:r>
          </w:p>
        </w:tc>
        <w:tc>
          <w:tcPr>
            <w:tcW w:type="dxa" w:w="2828"/>
            <w:tcMar>
              <w:top w:w="60" w:type="dxa"/>
              <w:start w:w="120" w:type="dxa"/>
              <w:bottom w:w="60" w:type="dxa"/>
              <w:end w:w="120" w:type="dxa"/>
            </w:tcMar>
            <w:shd w:val="clear" w:color="auto" w:fill="E65100"/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Media &amp; Offline</w:t>
            </w:r>
          </w:p>
        </w:tc>
        <w:tc>
          <w:tcPr>
            <w:tcW w:type="dxa" w:w="2828"/>
            <w:tcMar>
              <w:top w:w="60" w:type="dxa"/>
              <w:start w:w="120" w:type="dxa"/>
              <w:bottom w:w="60" w:type="dxa"/>
              <w:end w:w="120" w:type="dxa"/>
            </w:tcMar>
            <w:shd w:val="clear" w:color="auto" w:fill="455A64"/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Qualite des mentions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14140"/>
      </w:tblGrid>
      <w:tr>
        <w:tc>
          <w:tcPr>
            <w:tcW w:type="dxa" w:w="14140"/>
            <w:shd w:val="clear" w:color="auto" w:fill="2F5597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r>
              <w:rPr>
                <w:b/>
                <w:color w:val="FFFFFF"/>
                <w:sz w:val="25"/>
              </w:rPr>
              <w:t>Etudes &amp; Brand Lift (enquete, panel, test de campagne)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6" w:space="0" w:color="D0D0D0"/>
          <w:left w:val="single" w:sz="6" w:space="0" w:color="D0D0D0"/>
          <w:bottom w:val="single" w:sz="6" w:space="0" w:color="D0D0D0"/>
          <w:right w:val="single" w:sz="6" w:space="0" w:color="D0D0D0"/>
          <w:insideH w:val="single" w:sz="6" w:space="0" w:color="D0D0D0"/>
          <w:insideV w:val="single" w:sz="6" w:space="0" w:color="D0D0D0"/>
        </w:tblBorders>
      </w:tblPr>
      <w:tblGrid>
        <w:gridCol w:w="2828"/>
        <w:gridCol w:w="2828"/>
        <w:gridCol w:w="2828"/>
        <w:gridCol w:w="2828"/>
        <w:gridCol w:w="2828"/>
      </w:tblGrid>
      <w:tr>
        <w:tc>
          <w:tcPr>
            <w:tcW w:type="dxa" w:w="2448"/>
            <w:shd w:val="clear" w:color="auto" w:fill="2F5597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KPI</w:t>
            </w:r>
          </w:p>
        </w:tc>
        <w:tc>
          <w:tcPr>
            <w:tcW w:type="dxa" w:w="3456"/>
            <w:shd w:val="clear" w:color="auto" w:fill="2F5597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Ce que ca mesure</w:t>
            </w:r>
          </w:p>
        </w:tc>
        <w:tc>
          <w:tcPr>
            <w:tcW w:type="dxa" w:w="2880"/>
            <w:shd w:val="clear" w:color="auto" w:fill="2F5597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Formule (resume)</w:t>
            </w:r>
          </w:p>
        </w:tc>
        <w:tc>
          <w:tcPr>
            <w:tcW w:type="dxa" w:w="4320"/>
            <w:shd w:val="clear" w:color="auto" w:fill="2F5597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Decomposition (variables)</w:t>
            </w:r>
          </w:p>
        </w:tc>
        <w:tc>
          <w:tcPr>
            <w:tcW w:type="dxa" w:w="2016"/>
            <w:shd w:val="clear" w:color="auto" w:fill="2F5597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Sources usuelles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2F5597"/>
                <w:sz w:val="20"/>
              </w:rPr>
              <w:t>Notoriete spontanee (%)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Part des repondants qui citent la marque sans aucune aide.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(Nb repondants citant la marque spontanement / Nb repondants total) x 100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Numerateur: reponses libres contenant la marque (avec regles de codage).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Denominateur: total repondants valides (hors refus / hors NRP si vous les excluez).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A verrouiller: question identique, echantillon comparable, ponderation stable.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Etude ad hoc, barometre, panel, institut.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2F5597"/>
                <w:sz w:val="20"/>
              </w:rPr>
              <w:t>Notoriete assistee (%)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Part des repondants qui reconnaissent la marque dans une liste (ou avec logo).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(Nb repondants reconnaissant la marque / Nb repondants total) x 100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Stimulus: nom, logo, slogan - garder le meme format dans le temps.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Controle biais: melanger l'ordre, ajouter marques leurres si besoin.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Enquete en ligne, telephone, test de logo.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2F5597"/>
                <w:sz w:val="20"/>
              </w:rPr>
              <w:t>Top of mind (%)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Part des repondants qui citent la marque en premier lorsqu'on parle d'une categorie.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(Nb repondants citant la marque en 1er / Nb repondants total) x 100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Question type: 'Quelle est la premiere marque qui vous vient a l'esprit pour ... ?'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Sensibilite: fortement impacte par une campagne recente ou un buzz.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Barometre notoriété, tracking.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2F5597"/>
                <w:sz w:val="20"/>
              </w:rPr>
              <w:t>Gain de notoriete (points)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Evolution brute de la notoriete entre deux vagues.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Notoriete periode B - Notoriete periode A (en points)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Comparer A et B sur la meme definition (spontanee OU assistee).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Si echantillons differents: preferer une diff. ponderee + intervalle de confiance.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Deux vagues d'enquete comparables.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2F5597"/>
                <w:sz w:val="20"/>
              </w:rPr>
              <w:t>Lift relatif (%)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Progression relative de la notoriete (plus parlant en faible base).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((KPI_B - KPI_A) / KPI_A) x 100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Exemple: 8% -&gt; 10% = (10-8)/8 = +25%.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Prudence: si KPI_A proche de 0, le lift explose - utiliser aussi les points.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Tracking pre/post, test A/B de campagne.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2F5597"/>
                <w:sz w:val="20"/>
              </w:rPr>
              <w:t>Ad recall / Memorisation pub (%)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Part qui se souvient avoir vu/entendu la pub (spontane ou assiste).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(Nb repondants declarant se souvenir / Nb repondants total) x 100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Preciserez: 'au cours des 7 derniers jours' ou periode fixe.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Distinguer: memorisation spontane vs assistee (avec visuel/claim).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Brand lift, post-test publicitaire.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14140"/>
      </w:tblGrid>
      <w:tr>
        <w:tc>
          <w:tcPr>
            <w:tcW w:type="dxa" w:w="14140"/>
            <w:shd w:val="clear" w:color="auto" w:fill="2E7D32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r>
              <w:rPr>
                <w:b/>
                <w:color w:val="FFFFFF"/>
                <w:sz w:val="25"/>
              </w:rPr>
              <w:t>Digital &amp; SEO (search, analytics, trafic marque)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6" w:space="0" w:color="D0D0D0"/>
          <w:left w:val="single" w:sz="6" w:space="0" w:color="D0D0D0"/>
          <w:bottom w:val="single" w:sz="6" w:space="0" w:color="D0D0D0"/>
          <w:right w:val="single" w:sz="6" w:space="0" w:color="D0D0D0"/>
          <w:insideH w:val="single" w:sz="6" w:space="0" w:color="D0D0D0"/>
          <w:insideV w:val="single" w:sz="6" w:space="0" w:color="D0D0D0"/>
        </w:tblBorders>
      </w:tblPr>
      <w:tblGrid>
        <w:gridCol w:w="2828"/>
        <w:gridCol w:w="2828"/>
        <w:gridCol w:w="2828"/>
        <w:gridCol w:w="2828"/>
        <w:gridCol w:w="2828"/>
      </w:tblGrid>
      <w:tr>
        <w:tc>
          <w:tcPr>
            <w:tcW w:type="dxa" w:w="2448"/>
            <w:shd w:val="clear" w:color="auto" w:fill="2E7D32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KPI</w:t>
            </w:r>
          </w:p>
        </w:tc>
        <w:tc>
          <w:tcPr>
            <w:tcW w:type="dxa" w:w="3456"/>
            <w:shd w:val="clear" w:color="auto" w:fill="2E7D32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Ce que ca mesure</w:t>
            </w:r>
          </w:p>
        </w:tc>
        <w:tc>
          <w:tcPr>
            <w:tcW w:type="dxa" w:w="2880"/>
            <w:shd w:val="clear" w:color="auto" w:fill="2E7D32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Formule (resume)</w:t>
            </w:r>
          </w:p>
        </w:tc>
        <w:tc>
          <w:tcPr>
            <w:tcW w:type="dxa" w:w="4320"/>
            <w:shd w:val="clear" w:color="auto" w:fill="2E7D32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Decomposition (variables)</w:t>
            </w:r>
          </w:p>
        </w:tc>
        <w:tc>
          <w:tcPr>
            <w:tcW w:type="dxa" w:w="2016"/>
            <w:shd w:val="clear" w:color="auto" w:fill="2E7D32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Sources usuelles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2E7D32"/>
                <w:sz w:val="20"/>
              </w:rPr>
              <w:t>Share of Search (SoS) (%)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Part des recherches de marque vs marques concurrentes sur une categorie.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(Volume requetes marque / Somme volumes requetes marques (marque + concurrents)) x 100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Inclure variantes: marque, marque + produit, fautes communes.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Toujours comparer sur la meme geo et la meme fenetre (semaine/mois).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Google Trends, outils SEO, Search Console (partiel).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2E7D32"/>
                <w:sz w:val="20"/>
              </w:rPr>
              <w:t>Volume de recherches de marque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Nombre de recherches contenant la marque (indicateur de demande).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Somme des volumes de requetes brand sur la periode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Definition 'brand': liste de mots-cles marques + variantes.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Segmenter: marque seule vs marque + intention (prix, avis, contact).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Outils SEO, Google Ads Keyword Planner, Trends.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2E7D32"/>
                <w:sz w:val="20"/>
              </w:rPr>
              <w:t>Impressions sur requetes brand (%) - part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Poids des impressions issues des requetes brand dans la visibilite SEO.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(Impressions brand / Impressions totales Search Console) x 100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Impressions brand: filtres de requetes contenant la marque.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Interet: suivre la dependance a la marque vs la conquete generique.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Google Search Console.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2E7D32"/>
                <w:sz w:val="20"/>
              </w:rPr>
              <w:t>CTR brand (%)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Capacite a capter le clic quand la marque est cherchee.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(Clics brand / Impressions brand) x 100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Si CTR bas: titres/meta a retravailler, sitelinks, SERP features.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Comparer par device (mobile/desktop).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Google Search Console.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2E7D32"/>
                <w:sz w:val="20"/>
              </w:rPr>
              <w:t>Part du trafic direct (%)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Part des sessions 'Direct' (souvent associee a une notoriété forte).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(Sessions Direct / Sessions totales) x 100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Direct = URL tapee, favoris, applis - inclut parfois du trafic non tague.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A coupler avec: part de trafic brand (UTM, campagnes).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Google Analytics / Matomo.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2E7D32"/>
                <w:sz w:val="20"/>
              </w:rPr>
              <w:t>Taux de nouveaux utilisateurs (brand acquisition) (%)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Part de nouveaux utilisateurs venant de requetes brand ou acces direct.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(Nouveaux utilisateurs (brand+direct) / Utilisateurs (brand+direct)) x 100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Definir le perimetre: source/medium, requetes brand, direct.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Lire en duo avec la frequence (retour) et la part de recurrent.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Analytics + Search Console (croisement).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14140"/>
      </w:tblGrid>
      <w:tr>
        <w:tc>
          <w:tcPr>
            <w:tcW w:type="dxa" w:w="14140"/>
            <w:shd w:val="clear" w:color="auto" w:fill="6A1B9A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r>
              <w:rPr>
                <w:b/>
                <w:color w:val="FFFFFF"/>
                <w:sz w:val="25"/>
              </w:rPr>
              <w:t>Social &amp; PR (portee, mentions, retombees)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6" w:space="0" w:color="D0D0D0"/>
          <w:left w:val="single" w:sz="6" w:space="0" w:color="D0D0D0"/>
          <w:bottom w:val="single" w:sz="6" w:space="0" w:color="D0D0D0"/>
          <w:right w:val="single" w:sz="6" w:space="0" w:color="D0D0D0"/>
          <w:insideH w:val="single" w:sz="6" w:space="0" w:color="D0D0D0"/>
          <w:insideV w:val="single" w:sz="6" w:space="0" w:color="D0D0D0"/>
        </w:tblBorders>
      </w:tblPr>
      <w:tblGrid>
        <w:gridCol w:w="2828"/>
        <w:gridCol w:w="2828"/>
        <w:gridCol w:w="2828"/>
        <w:gridCol w:w="2828"/>
        <w:gridCol w:w="2828"/>
      </w:tblGrid>
      <w:tr>
        <w:tc>
          <w:tcPr>
            <w:tcW w:type="dxa" w:w="2448"/>
            <w:shd w:val="clear" w:color="auto" w:fill="6A1B9A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KPI</w:t>
            </w:r>
          </w:p>
        </w:tc>
        <w:tc>
          <w:tcPr>
            <w:tcW w:type="dxa" w:w="3456"/>
            <w:shd w:val="clear" w:color="auto" w:fill="6A1B9A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Ce que ca mesure</w:t>
            </w:r>
          </w:p>
        </w:tc>
        <w:tc>
          <w:tcPr>
            <w:tcW w:type="dxa" w:w="2880"/>
            <w:shd w:val="clear" w:color="auto" w:fill="6A1B9A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Formule (resume)</w:t>
            </w:r>
          </w:p>
        </w:tc>
        <w:tc>
          <w:tcPr>
            <w:tcW w:type="dxa" w:w="4320"/>
            <w:shd w:val="clear" w:color="auto" w:fill="6A1B9A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Decomposition (variables)</w:t>
            </w:r>
          </w:p>
        </w:tc>
        <w:tc>
          <w:tcPr>
            <w:tcW w:type="dxa" w:w="2016"/>
            <w:shd w:val="clear" w:color="auto" w:fill="6A1B9A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Sources usuelles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6A1B9A"/>
                <w:sz w:val="20"/>
              </w:rPr>
              <w:t>Portee unique (Reach)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Nombre de personnes uniques exposees a vos contenus / campagne.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Reach = personnes uniques exposees (unite: comptes/individus)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A distinguer d'impressions (expositions totales).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Sur multi-plateformes: eviter d'additionner sans deduplication.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Meta, TikTok, LinkedIn, X, outils ads.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6A1B9A"/>
                <w:sz w:val="20"/>
              </w:rPr>
              <w:t>Impressions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Nombre total d'expositions de vos contenus.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Impressions = total d'affichages (toutes repetitions incluses)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Lecture: indicateur de pression media digitale.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Coupler avec frequence moyenne = Impressions / Reach.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Outils sociaux et publicitaires.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6A1B9A"/>
                <w:sz w:val="20"/>
              </w:rPr>
              <w:t>Frequence moyenne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Nombre moyen d'expositions par personne touchee.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Frequence = Impressions / Reach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Ex: 1 200 000 impressions / 300 000 reach = 4,0.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Trop haut: fatigue publicitaire ; trop bas: memorisation faible.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Ads managers / reporting social.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6A1B9A"/>
                <w:sz w:val="20"/>
              </w:rPr>
              <w:t>Part de voix social (SOV) (%)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Part des conversations social media qui concernent la marque.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(Mentions marque / Mentions totales marche) x 100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Mentions marque: @mentions + mots-cles + hashtags.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Marche: marques concurrentes + mots-cles categorie (selon perimetre).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Social listening (Talkwalker, Brandwatch, etc.).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6A1B9A"/>
                <w:sz w:val="20"/>
              </w:rPr>
              <w:t>Taux de croissance des abonnes (%)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Vitesse d'acquisition d'abonnes (indirectement liee a la notoriété).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((Abonnes fin - Abonnes debut) / Abonnes debut) x 100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Segmenter organique vs paye si possible.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A lire avec reach: on peut grandir sans toucher plus (mauvaise diffusion).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Insights plateformes.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6A1B9A"/>
                <w:sz w:val="20"/>
              </w:rPr>
              <w:t>Retombees presse (volume)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Nombre d'articles/mentions presse sur la periode.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Retombees = nb contenus editoriaux (articles, TV/radio, blogs qualifies)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Definir ce qui compte: presse pro, grand public, blogs, reprises.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Nettoyer doublons: reprises identiques, syndication.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Revue de presse, outils PR.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14140"/>
      </w:tblGrid>
      <w:tr>
        <w:tc>
          <w:tcPr>
            <w:tcW w:type="dxa" w:w="14140"/>
            <w:shd w:val="clear" w:color="auto" w:fill="E65100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r>
              <w:rPr>
                <w:b/>
                <w:color w:val="FFFFFF"/>
                <w:sz w:val="25"/>
              </w:rPr>
              <w:t>Media &amp; Offline (TV, radio, affichage, evenementiel)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6" w:space="0" w:color="D0D0D0"/>
          <w:left w:val="single" w:sz="6" w:space="0" w:color="D0D0D0"/>
          <w:bottom w:val="single" w:sz="6" w:space="0" w:color="D0D0D0"/>
          <w:right w:val="single" w:sz="6" w:space="0" w:color="D0D0D0"/>
          <w:insideH w:val="single" w:sz="6" w:space="0" w:color="D0D0D0"/>
          <w:insideV w:val="single" w:sz="6" w:space="0" w:color="D0D0D0"/>
        </w:tblBorders>
      </w:tblPr>
      <w:tblGrid>
        <w:gridCol w:w="2828"/>
        <w:gridCol w:w="2828"/>
        <w:gridCol w:w="2828"/>
        <w:gridCol w:w="2828"/>
        <w:gridCol w:w="2828"/>
      </w:tblGrid>
      <w:tr>
        <w:tc>
          <w:tcPr>
            <w:tcW w:type="dxa" w:w="2448"/>
            <w:shd w:val="clear" w:color="auto" w:fill="E65100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KPI</w:t>
            </w:r>
          </w:p>
        </w:tc>
        <w:tc>
          <w:tcPr>
            <w:tcW w:type="dxa" w:w="3456"/>
            <w:shd w:val="clear" w:color="auto" w:fill="E65100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Ce que ca mesure</w:t>
            </w:r>
          </w:p>
        </w:tc>
        <w:tc>
          <w:tcPr>
            <w:tcW w:type="dxa" w:w="2880"/>
            <w:shd w:val="clear" w:color="auto" w:fill="E65100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Formule (resume)</w:t>
            </w:r>
          </w:p>
        </w:tc>
        <w:tc>
          <w:tcPr>
            <w:tcW w:type="dxa" w:w="4320"/>
            <w:shd w:val="clear" w:color="auto" w:fill="E65100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Decomposition (variables)</w:t>
            </w:r>
          </w:p>
        </w:tc>
        <w:tc>
          <w:tcPr>
            <w:tcW w:type="dxa" w:w="2016"/>
            <w:shd w:val="clear" w:color="auto" w:fill="E65100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Sources usuelles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E65100"/>
                <w:sz w:val="20"/>
              </w:rPr>
              <w:t>Couverture (Reach %) - media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Part de la cible exposee au moins une fois a la campagne.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(Personnes exposees au moins 1 fois / Taille de la cible) x 100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Cible: 15-49, CSP+, zone geo, etc.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Fenetre: duree de campagne (ex: 2 semaines).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Regies, instituts (Mediamétrie, etc.), DSP.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E65100"/>
                <w:sz w:val="20"/>
              </w:rPr>
              <w:t>GRP (Gross Rating Points)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Pression publicitaire: couverture x frequence (en points).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GRP = Reach (%) x Frequence moyenne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Ex: reach 40% et frequence 3 = 120 GRP.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Alternative: somme des ratings de chaque spot (selon regie).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Planning media TV/radio.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E65100"/>
                <w:sz w:val="20"/>
              </w:rPr>
              <w:t>OTS (Opportunities To See)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Nombre d'opportunites de voir (expositions estimees) pour l'affichage.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OTS = Traffic (contacts) x Taux de visibilite x Duree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Traffic: flux estimé (passants/vehicules).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Taux de visibilite: pourcentage de contacts effectivement exposes (angle, distance).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Afficheurs, etudes de mobilite.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E65100"/>
                <w:sz w:val="20"/>
              </w:rPr>
              <w:t>CPM (cout pour mille impressions)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Efficience d'achat media pour generer de la visibilité.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(Cout campagne / Impressions) x 1000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Bien preciser: impressions estimes (offline) vs mesurees (digital).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Comparer CPM uniquement sur perimetres comparables (cible, format).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Regie, ads manager, devis media.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E65100"/>
                <w:sz w:val="20"/>
              </w:rPr>
              <w:t>Taux de participation evenement (%)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Capacite a faire venir (notoriété locale / activation).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(Participants / Invites ou Audience potentielle) x 100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Choisir le denominateur: invites (RSVP) ou trafic magasin/zone.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Completer avec reach local (affichage, social geo).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Comptage, inscriptions, billetterie.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14140"/>
      </w:tblGrid>
      <w:tr>
        <w:tc>
          <w:tcPr>
            <w:tcW w:type="dxa" w:w="14140"/>
            <w:shd w:val="clear" w:color="auto" w:fill="455A64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r>
              <w:rPr>
                <w:b/>
                <w:color w:val="FFFFFF"/>
                <w:sz w:val="25"/>
              </w:rPr>
              <w:t>Qualite des mentions (sentiment, message, visibilité utile)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6" w:space="0" w:color="D0D0D0"/>
          <w:left w:val="single" w:sz="6" w:space="0" w:color="D0D0D0"/>
          <w:bottom w:val="single" w:sz="6" w:space="0" w:color="D0D0D0"/>
          <w:right w:val="single" w:sz="6" w:space="0" w:color="D0D0D0"/>
          <w:insideH w:val="single" w:sz="6" w:space="0" w:color="D0D0D0"/>
          <w:insideV w:val="single" w:sz="6" w:space="0" w:color="D0D0D0"/>
        </w:tblBorders>
      </w:tblPr>
      <w:tblGrid>
        <w:gridCol w:w="2828"/>
        <w:gridCol w:w="2828"/>
        <w:gridCol w:w="2828"/>
        <w:gridCol w:w="2828"/>
        <w:gridCol w:w="2828"/>
      </w:tblGrid>
      <w:tr>
        <w:tc>
          <w:tcPr>
            <w:tcW w:type="dxa" w:w="2448"/>
            <w:shd w:val="clear" w:color="auto" w:fill="455A64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KPI</w:t>
            </w:r>
          </w:p>
        </w:tc>
        <w:tc>
          <w:tcPr>
            <w:tcW w:type="dxa" w:w="3456"/>
            <w:shd w:val="clear" w:color="auto" w:fill="455A64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Ce que ca mesure</w:t>
            </w:r>
          </w:p>
        </w:tc>
        <w:tc>
          <w:tcPr>
            <w:tcW w:type="dxa" w:w="2880"/>
            <w:shd w:val="clear" w:color="auto" w:fill="455A64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Formule (resume)</w:t>
            </w:r>
          </w:p>
        </w:tc>
        <w:tc>
          <w:tcPr>
            <w:tcW w:type="dxa" w:w="4320"/>
            <w:shd w:val="clear" w:color="auto" w:fill="455A64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Decomposition (variables)</w:t>
            </w:r>
          </w:p>
        </w:tc>
        <w:tc>
          <w:tcPr>
            <w:tcW w:type="dxa" w:w="2016"/>
            <w:shd w:val="clear" w:color="auto" w:fill="455A64"/>
            <w:tcMar>
              <w:top w:w="60" w:type="dxa"/>
              <w:start w:w="100" w:type="dxa"/>
              <w:bottom w:w="60" w:type="dxa"/>
              <w:end w:w="10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19"/>
              </w:rPr>
              <w:t>Sources usuelles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455A64"/>
                <w:sz w:val="20"/>
              </w:rPr>
              <w:t>Sentiment net (%)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Balance entre mentions positives et negatives (climat de marque).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((Mentions positives - Mentions negatives) / Mentions totales) x 100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Mentions totales = positives + negatives + neutres.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Toujours indiquer le mode de classification (automatique vs humaine).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Social listening, presse, avis (selon scope).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455A64"/>
                <w:sz w:val="20"/>
              </w:rPr>
              <w:t>Taux de mentions positives (%)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Part des mentions au ton positif.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(Mentions positives / Mentions totales) x 100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Sur crise: suivre en quotidien/hebdo.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Segmenter par canal (presse vs social) et par theme.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Outils de veille / PR.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455A64"/>
                <w:sz w:val="20"/>
              </w:rPr>
              <w:t>Part de voix positive (%)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Part des conversations positives detenues par la marque vs marche.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(Mentions positives marque / Mentions positives marche) x 100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Marche: marque + concurrents (meme regles de keywords).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Indicateur utile pour comparer l'image relative, pas seulement le volume.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Social listening.</w:t>
            </w:r>
          </w:p>
        </w:tc>
      </w:tr>
      <w:tr>
        <w:tc>
          <w:tcPr>
            <w:tcW w:type="dxa" w:w="2448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455A64"/>
                <w:sz w:val="20"/>
              </w:rPr>
              <w:t>Taux de reprise de message cle (%)</w:t>
            </w:r>
          </w:p>
        </w:tc>
        <w:tc>
          <w:tcPr>
            <w:tcW w:type="dxa" w:w="345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Part des mentions qui reprennent un message, un benefice ou une preuve cle.</w:t>
            </w:r>
          </w:p>
        </w:tc>
        <w:tc>
          <w:tcPr>
            <w:tcW w:type="dxa" w:w="288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(Mentions contenant message cle / Mentions totales marque) x 100</w:t>
            </w:r>
          </w:p>
        </w:tc>
        <w:tc>
          <w:tcPr>
            <w:tcW w:type="dxa" w:w="4320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Message cle: liste de termes/expressions (synonymes + variations).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Peut se calculer par campagne (claim A vs claim B).</w:t>
            </w:r>
          </w:p>
        </w:tc>
        <w:tc>
          <w:tcPr>
            <w:tcW w:type="dxa" w:w="2016"/>
            <w:shd w:val="clear" w:color="auto" w:fill="F7F7F7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Veille presse/social + dictionnaire de mots-cles.</w:t>
            </w:r>
          </w:p>
        </w:tc>
      </w:tr>
      <w:tr>
        <w:tc>
          <w:tcPr>
            <w:tcW w:type="dxa" w:w="2448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/>
                <w:color w:val="455A64"/>
                <w:sz w:val="20"/>
              </w:rPr>
              <w:t>Indice de visibilite utile (IVU)</w:t>
            </w:r>
          </w:p>
        </w:tc>
        <w:tc>
          <w:tcPr>
            <w:tcW w:type="dxa" w:w="345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9"/>
              </w:rPr>
              <w:t>Visibilite ponderée par qualite de support et ton (score maison).</w:t>
            </w:r>
          </w:p>
        </w:tc>
        <w:tc>
          <w:tcPr>
            <w:tcW w:type="dxa" w:w="288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rFonts w:ascii="Consolas" w:hAnsi="Consolas" w:eastAsia="Consolas"/>
                <w:b w:val="0"/>
                <w:sz w:val="18"/>
              </w:rPr>
              <w:t>IVU = Somme(Score support x Poids ton x Poids audience)</w:t>
            </w:r>
          </w:p>
        </w:tc>
        <w:tc>
          <w:tcPr>
            <w:tcW w:type="dxa" w:w="4320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/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Score support: 1 a 5 (blog, presse pro, national, TV...).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Poids ton: +1 positif, 0 neutre, -1 negatif (ou autre echelle).</w:t>
            </w:r>
          </w:p>
          <w:p>
            <w:pPr>
              <w:pStyle w:val="ListBullet"/>
              <w:spacing w:after="0"/>
            </w:pPr>
            <w:r>
              <w:rPr>
                <w:rFonts w:ascii="Calibri" w:hAnsi="Calibri"/>
                <w:sz w:val="18"/>
              </w:rPr>
              <w:t>Poids audience: audience/portee du support (normalisee).</w:t>
            </w:r>
          </w:p>
        </w:tc>
        <w:tc>
          <w:tcPr>
            <w:tcW w:type="dxa" w:w="2016"/>
            <w:shd w:val="clear" w:color="auto" w:fill="FFFFFF"/>
            <w:tcMar>
              <w:top w:w="80" w:type="dxa"/>
              <w:start w:w="100" w:type="dxa"/>
              <w:bottom w:w="80" w:type="dxa"/>
              <w:end w:w="100" w:type="dxa"/>
            </w:tcMar>
            <w:vAlign w:val="top"/>
          </w:tcPr>
          <w:p>
            <w:pPr>
              <w:spacing w:after="0"/>
            </w:pPr>
            <w:r>
              <w:rPr>
                <w:b w:val="0"/>
                <w:sz w:val="18"/>
              </w:rPr>
              <w:t>PR + social listening + audience estimates.</w:t>
            </w:r>
          </w:p>
        </w:tc>
      </w:tr>
    </w:tbl>
    <w:p/>
    <w:p>
      <w:r>
        <w:rPr>
          <w:b/>
          <w:color w:val="1F4E79"/>
          <w:sz w:val="28"/>
        </w:rPr>
        <w:t>Exemples chiffrés (pour valider vos calculs)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6" w:space="0" w:color="D0D0D0"/>
          <w:left w:val="single" w:sz="6" w:space="0" w:color="D0D0D0"/>
          <w:bottom w:val="single" w:sz="6" w:space="0" w:color="D0D0D0"/>
          <w:right w:val="single" w:sz="6" w:space="0" w:color="D0D0D0"/>
          <w:insideH w:val="single" w:sz="6" w:space="0" w:color="D0D0D0"/>
          <w:insideV w:val="single" w:sz="6" w:space="0" w:color="D0D0D0"/>
        </w:tblBorders>
      </w:tblPr>
      <w:tblGrid>
        <w:gridCol w:w="7070"/>
        <w:gridCol w:w="7070"/>
      </w:tblGrid>
      <w:tr>
        <w:tc>
          <w:tcPr>
            <w:tcW w:type="dxa" w:w="7344"/>
            <w:shd w:val="clear" w:color="auto" w:fill="FFF8E1"/>
            <w:tcMar>
              <w:top w:w="120" w:type="dxa"/>
              <w:start w:w="160" w:type="dxa"/>
              <w:bottom w:w="120" w:type="dxa"/>
              <w:end w:w="160" w:type="dxa"/>
            </w:tcMar>
            <w:vAlign w:val="top"/>
          </w:tcPr>
          <w:p>
            <w:r>
              <w:rPr>
                <w:b/>
                <w:color w:val="E65100"/>
                <w:sz w:val="22"/>
              </w:rPr>
              <w:t>Exemple 1 - Notoriete spontanee</w:t>
            </w:r>
          </w:p>
          <w:p>
            <w:r>
              <w:rPr>
                <w:b w:val="0"/>
                <w:sz w:val="19"/>
              </w:rPr>
              <w:t>Enquete: 800 repondants.  96 citent la marque sans aide.</w:t>
            </w:r>
          </w:p>
          <w:p>
            <w:r>
              <w:rPr>
                <w:b/>
                <w:sz w:val="19"/>
              </w:rPr>
              <w:t>Calcul:</w:t>
            </w:r>
          </w:p>
          <w:p>
            <w:r>
              <w:rPr>
                <w:rFonts w:ascii="Consolas" w:hAnsi="Consolas" w:eastAsia="Consolas"/>
                <w:b w:val="0"/>
                <w:sz w:val="19"/>
              </w:rPr>
              <w:t>(96 / 800) x 100 = 12,0 %</w:t>
            </w:r>
          </w:p>
        </w:tc>
        <w:tc>
          <w:tcPr>
            <w:tcW w:type="dxa" w:w="7344"/>
            <w:shd w:val="clear" w:color="auto" w:fill="FFF8E1"/>
            <w:tcMar>
              <w:top w:w="120" w:type="dxa"/>
              <w:start w:w="160" w:type="dxa"/>
              <w:bottom w:w="120" w:type="dxa"/>
              <w:end w:w="160" w:type="dxa"/>
            </w:tcMar>
            <w:vAlign w:val="top"/>
          </w:tcPr>
          <w:p>
            <w:r>
              <w:rPr>
                <w:b/>
                <w:color w:val="2E7D32"/>
                <w:sz w:val="22"/>
              </w:rPr>
              <w:t>Exemple 2 - Share of Search</w:t>
            </w:r>
          </w:p>
          <w:p>
            <w:r>
              <w:rPr>
                <w:b w:val="0"/>
                <w:sz w:val="19"/>
              </w:rPr>
              <w:t>Mois M: marque = 18 000 recherches.  Concurrents (A+B+C) = 42 000.</w:t>
            </w:r>
          </w:p>
          <w:p>
            <w:r>
              <w:rPr>
                <w:b/>
                <w:sz w:val="19"/>
              </w:rPr>
              <w:t>Calcul:</w:t>
            </w:r>
          </w:p>
          <w:p>
            <w:r>
              <w:rPr>
                <w:rFonts w:ascii="Consolas" w:hAnsi="Consolas" w:eastAsia="Consolas"/>
                <w:b w:val="0"/>
                <w:sz w:val="19"/>
              </w:rPr>
              <w:t>(18 000 / (18 000 + 42 000)) x 100 = 30,0 %</w:t>
            </w:r>
          </w:p>
        </w:tc>
      </w:tr>
    </w:tbl>
    <w:p/>
    <w:p>
      <w:r>
        <w:rPr>
          <w:b/>
          <w:color w:val="1F4E79"/>
          <w:sz w:val="28"/>
        </w:rPr>
        <w:t>Checklist de pilotage (rapide)</w:t>
      </w:r>
    </w:p>
    <w:p>
      <w:pPr>
        <w:pStyle w:val="ListBullet"/>
        <w:spacing w:after="20"/>
      </w:pPr>
      <w:r>
        <w:t>Definir la cible et la periode (ex: France, 25-44 ans, mois).</w:t>
      </w:r>
    </w:p>
    <w:p>
      <w:pPr>
        <w:pStyle w:val="ListBullet"/>
        <w:spacing w:after="20"/>
      </w:pPr>
      <w:r>
        <w:t>Constituer votre 'dictionnaire brand' (marque, variantes, hashtags, fautes).</w:t>
      </w:r>
    </w:p>
    <w:p>
      <w:pPr>
        <w:pStyle w:val="ListBullet"/>
        <w:spacing w:after="20"/>
      </w:pPr>
      <w:r>
        <w:t>Choisir un KPI principal par canal + 1 KPI de comparaison (SOV ou SoS).</w:t>
      </w:r>
    </w:p>
    <w:p>
      <w:pPr>
        <w:pStyle w:val="ListBullet"/>
        <w:spacing w:after="20"/>
      </w:pPr>
      <w:r>
        <w:t>Documenter les sources et les regles de nettoyage (doublons, bots, reprises).</w:t>
      </w:r>
    </w:p>
    <w:p>
      <w:pPr>
        <w:pStyle w:val="ListBullet"/>
        <w:spacing w:after="20"/>
      </w:pPr>
      <w:r>
        <w:t>Suivre l'evolution (points + lift relatif) et relier aux actions (campagnes, RP, partenariats).</w:t>
      </w:r>
    </w:p>
    <w:p/>
    <w:p>
      <w:r>
        <w:rPr>
          <w:b/>
          <w:color w:val="1F4E79"/>
          <w:sz w:val="28"/>
        </w:rPr>
        <w:t>Erreurs frequentes (a eviter)</w:t>
      </w:r>
    </w:p>
    <w:p>
      <w:pPr>
        <w:pStyle w:val="ListBullet"/>
        <w:spacing w:after="20"/>
      </w:pPr>
      <w:r>
        <w:t>Additionner des reach multi-plateformes sans deduplication (double comptage).</w:t>
      </w:r>
    </w:p>
    <w:p>
      <w:pPr>
        <w:pStyle w:val="ListBullet"/>
        <w:spacing w:after="20"/>
      </w:pPr>
      <w:r>
        <w:t>Comparer des enquêtes dont le questionnaire, l'ordre des items ou la cible a change.</w:t>
      </w:r>
    </w:p>
    <w:p>
      <w:pPr>
        <w:pStyle w:val="ListBullet"/>
        <w:spacing w:after="20"/>
      </w:pPr>
      <w:r>
        <w:t>Interpréter un lift relatif sans regarder le gain en points (base trop faible).</w:t>
      </w:r>
    </w:p>
    <w:p>
      <w:pPr>
        <w:pStyle w:val="ListBullet"/>
        <w:spacing w:after="20"/>
      </w:pPr>
      <w:r>
        <w:t>Melanger impressions estimees (offline) et impressions mesurees (digital) sans le preciser.</w:t>
      </w:r>
    </w:p>
    <w:p>
      <w:pPr>
        <w:pStyle w:val="ListBullet"/>
        <w:spacing w:after="20"/>
      </w:pPr>
      <w:r>
        <w:t>Oublier les biais de classement du sentiment (automatique) sur l'ironie et les termes ambigus.</w:t>
      </w:r>
    </w:p>
    <w:sectPr w:rsidR="00FC693F" w:rsidRPr="0006063C" w:rsidSect="00034616">
      <w:footerReference w:type="default" r:id="rId9"/>
      <w:pgSz w:w="15840" w:h="12240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/>
    <w:r>
      <w:rPr>
        <w:rFonts w:ascii="Calibri" w:hAnsi="Calibri"/>
        <w:color w:val="7F7F7F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