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16365C"/>
          </w:tcPr>
          <w:p>
            <w:pPr>
              <w:spacing w:before="120" w:after="120" w:line="240" w:lineRule="auto"/>
              <w:jc w:val="center"/>
            </w:pPr>
            <w:r>
              <w:rPr>
                <w:b/>
                <w:color w:val="FFFFFF"/>
                <w:sz w:val="32"/>
              </w:rPr>
              <w:t>FICHE PERSONNAGE</w:t>
            </w:r>
          </w:p>
        </w:tc>
      </w:tr>
      <w:tr>
        <w:tc>
          <w:tcPr>
            <w:tcW w:type="dxa" w:w="10200"/>
            <w:shd w:val="clear" w:color="auto" w:fill="F3F6FA"/>
          </w:tcPr>
          <w:p>
            <w:pPr>
              <w:spacing w:before="120" w:after="0" w:line="240" w:lineRule="auto"/>
              <w:jc w:val="center"/>
            </w:pPr>
            <w:r>
              <w:rPr>
                <w:b/>
                <w:color w:val="16365C"/>
                <w:sz w:val="40"/>
              </w:rPr>
              <w:t>Les Bonnes — Jean Genet</w:t>
            </w:r>
          </w:p>
          <w:p>
            <w:pPr>
              <w:spacing w:before="40" w:after="160" w:line="240" w:lineRule="auto"/>
              <w:jc w:val="center"/>
            </w:pPr>
            <w:r>
              <w:rPr>
                <w:color w:val="0B7C91"/>
                <w:sz w:val="22"/>
              </w:rPr>
              <w:t>Portrait, dynamiques et repères d'analyse</w:t>
            </w:r>
          </w:p>
        </w:tc>
      </w:tr>
    </w:tbl>
    <w:p>
      <w:pPr>
        <w:spacing w:before="200" w:after="200" w:line="240" w:lineRule="auto"/>
        <w:jc w:val="center"/>
      </w:pPr>
      <w:r>
        <w:rPr>
          <w:b/>
          <w:color w:val="16365C"/>
          <w:sz w:val="44"/>
        </w:rPr>
        <w:t>MADAME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shd w:val="clear" w:color="auto" w:fill="EAF0F6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b/>
                <w:color w:val="16365C"/>
                <w:sz w:val="21"/>
              </w:rPr>
              <w:t>Statut</w:t>
            </w:r>
          </w:p>
        </w:tc>
        <w:tc>
          <w:tcPr>
            <w:tcW w:type="dxa" w:w="5100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sz w:val="21"/>
              </w:rPr>
              <w:t>Maîtresse (employeuse)</w:t>
            </w:r>
          </w:p>
        </w:tc>
      </w:tr>
      <w:tr>
        <w:tc>
          <w:tcPr>
            <w:tcW w:type="dxa" w:w="5100"/>
            <w:shd w:val="clear" w:color="auto" w:fill="EAF0F6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b/>
                <w:color w:val="16365C"/>
                <w:sz w:val="21"/>
              </w:rPr>
              <w:t>Rôle symbolique</w:t>
            </w:r>
          </w:p>
        </w:tc>
        <w:tc>
          <w:tcPr>
            <w:tcW w:type="dxa" w:w="5100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sz w:val="21"/>
              </w:rPr>
              <w:t>Figure du pouvoir : présence qui règne même lorsqu'elle est absente</w:t>
            </w:r>
          </w:p>
        </w:tc>
      </w:tr>
      <w:tr>
        <w:tc>
          <w:tcPr>
            <w:tcW w:type="dxa" w:w="5100"/>
            <w:shd w:val="clear" w:color="auto" w:fill="EAF0F6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b/>
                <w:color w:val="16365C"/>
                <w:sz w:val="21"/>
              </w:rPr>
              <w:t>Rapport aux bonnes</w:t>
            </w:r>
          </w:p>
        </w:tc>
        <w:tc>
          <w:tcPr>
            <w:tcW w:type="dxa" w:w="5100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sz w:val="21"/>
              </w:rPr>
              <w:t>Hiérarchie polie, domination installée, 'naturelle' en apparence</w:t>
            </w:r>
          </w:p>
        </w:tc>
      </w:tr>
      <w:tr>
        <w:tc>
          <w:tcPr>
            <w:tcW w:type="dxa" w:w="5100"/>
            <w:shd w:val="clear" w:color="auto" w:fill="EAF0F6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b/>
                <w:color w:val="16365C"/>
                <w:sz w:val="21"/>
              </w:rPr>
              <w:t>Trait dominant</w:t>
            </w:r>
          </w:p>
        </w:tc>
        <w:tc>
          <w:tcPr>
            <w:tcW w:type="dxa" w:w="5100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sz w:val="21"/>
              </w:rPr>
              <w:t>Autorité par la place, par les codes, par les objets</w:t>
            </w:r>
          </w:p>
        </w:tc>
      </w:tr>
      <w:tr>
        <w:tc>
          <w:tcPr>
            <w:tcW w:type="dxa" w:w="5100"/>
            <w:shd w:val="clear" w:color="auto" w:fill="EAF0F6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b/>
                <w:color w:val="16365C"/>
                <w:sz w:val="21"/>
              </w:rPr>
              <w:t>À retenir</w:t>
            </w:r>
          </w:p>
        </w:tc>
        <w:tc>
          <w:tcPr>
            <w:tcW w:type="dxa" w:w="5100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sz w:val="21"/>
              </w:rPr>
              <w:t>Personnage-miroir : autant réelle que projetée par le regard des bonnes</w:t>
            </w:r>
          </w:p>
        </w:tc>
      </w:tr>
    </w:tbl>
    <w:p/>
    <w:p>
      <w:pPr>
        <w:spacing w:before="200" w:after="80" w:line="240" w:lineRule="auto"/>
      </w:pPr>
      <w:r>
        <w:rPr>
          <w:b/>
          <w:color w:val="0B7C91"/>
          <w:sz w:val="25"/>
        </w:rPr>
        <w:t>PORTRAIT EXPRESS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0B7C91"/>
          </w:tcPr>
          <w:p>
            <w:pPr>
              <w:spacing w:before="0" w:after="0" w:line="240" w:lineRule="auto"/>
            </w:pPr>
            <w:r/>
          </w:p>
        </w:tc>
      </w:tr>
    </w:tbl>
    <w:p>
      <w:pPr>
        <w:spacing w:before="40" w:after="40" w:line="300" w:lineRule="auto"/>
      </w:pPr>
      <w:r>
        <w:t>Madame n'est pas seulement une personne : elle est une forme sociale. Elle incarne la place reconnue, protégée, légitime, celle qui ordonne parce qu'elle est née du bon côté du décor.</w:t>
      </w:r>
    </w:p>
    <w:p>
      <w:pPr>
        <w:spacing w:before="40" w:after="40" w:line="300" w:lineRule="auto"/>
      </w:pPr>
      <w:r>
        <w:t>Sa force tient souvent à ce qui ne s'énonce pas. Même aimable, même distraite, elle demeure le centre des signes : sa chambre, ses robes, ses habitudes. Elle est le pouvoir devenu évidence.</w:t>
      </w:r>
    </w:p>
    <w:p>
      <w:pPr>
        <w:spacing w:before="200" w:after="80" w:line="240" w:lineRule="auto"/>
      </w:pPr>
      <w:r>
        <w:rPr>
          <w:b/>
          <w:color w:val="0B7C91"/>
          <w:sz w:val="25"/>
        </w:rPr>
        <w:t>RELATIONS ET DYNAMIQUES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0B7C91"/>
          </w:tcPr>
          <w:p>
            <w:pPr>
              <w:spacing w:before="0" w:after="0" w:line="240" w:lineRule="auto"/>
            </w:pPr>
            <w:r/>
          </w:p>
        </w:tc>
      </w:tr>
    </w:tbl>
    <w:p>
      <w:pPr>
        <w:spacing w:before="40" w:after="40" w:line="300" w:lineRule="auto"/>
      </w:pPr>
      <w:r>
        <w:rPr>
          <w:b/>
          <w:color w:val="16365C"/>
          <w:sz w:val="22"/>
        </w:rPr>
        <w:t xml:space="preserve">Avec Claire et Solange — </w:t>
      </w:r>
      <w:r>
        <w:t>Elle est à la fois cible et modèle. Les bonnes la rejouent pour la détruire, mais aussi pour toucher, fût-ce un instant, à l'autorité qu'elle représente.</w:t>
      </w:r>
    </w:p>
    <w:p>
      <w:pPr>
        <w:spacing w:before="40" w:after="40" w:line="300" w:lineRule="auto"/>
      </w:pPr>
      <w:r>
        <w:rPr>
          <w:b/>
          <w:color w:val="16365C"/>
          <w:sz w:val="22"/>
        </w:rPr>
        <w:t xml:space="preserve">Avec le spectateur — </w:t>
      </w:r>
      <w:r>
        <w:t>Elle agit comme un miroir : ce que l'on voit d'elle est filtré par le rite des bonnes, par leurs fantasmes, leurs humiliations, leur désir de renversement.</w:t>
      </w:r>
    </w:p>
    <w:p>
      <w:pPr>
        <w:spacing w:before="200" w:after="80" w:line="240" w:lineRule="auto"/>
      </w:pPr>
      <w:r>
        <w:rPr>
          <w:b/>
          <w:color w:val="0B7C91"/>
          <w:sz w:val="25"/>
        </w:rPr>
        <w:t>RÔLE DRAMATURGIQUE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0B7C91"/>
          </w:tcPr>
          <w:p>
            <w:pPr>
              <w:spacing w:before="0" w:after="0" w:line="240" w:lineRule="auto"/>
            </w:pPr>
            <w:r/>
          </w:p>
        </w:tc>
      </w:tr>
    </w:tbl>
    <w:p>
      <w:pPr>
        <w:spacing w:before="40" w:after="40" w:line="300" w:lineRule="auto"/>
      </w:pPr>
      <w:r>
        <w:t>Madame rend possible la mise en abyme : parce qu'elle existe, le jeu s'enclenche, et la chambre devient scène.</w:t>
      </w:r>
    </w:p>
    <w:p>
      <w:pPr>
        <w:spacing w:before="40" w:after="40" w:line="300" w:lineRule="auto"/>
      </w:pPr>
      <w:r>
        <w:t>Elle révèle une domination qui n'a pas besoin d'excès pour s'imposer : la hiérarchie suffit, et sa politesse peut même renforcer sa violence.</w:t>
      </w:r>
    </w:p>
    <w:p>
      <w:r>
        <w:br w:type="page"/>
      </w:r>
    </w:p>
    <w:p>
      <w:pPr>
        <w:spacing w:before="0" w:after="120" w:line="240" w:lineRule="auto"/>
        <w:jc w:val="left"/>
      </w:pPr>
      <w:r>
        <w:rPr>
          <w:b/>
          <w:color w:val="16365C"/>
          <w:sz w:val="24"/>
        </w:rPr>
        <w:t>Les Bonnes — Fiche personnage : Madame</w:t>
      </w:r>
    </w:p>
    <w:p>
      <w:pPr>
        <w:spacing w:before="200" w:after="80" w:line="240" w:lineRule="auto"/>
      </w:pPr>
      <w:r>
        <w:rPr>
          <w:b/>
          <w:color w:val="0B7C91"/>
          <w:sz w:val="25"/>
        </w:rPr>
        <w:t>MOTS-CLÉS À PLACER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0B7C91"/>
          </w:tcPr>
          <w:p>
            <w:pPr>
              <w:spacing w:before="0" w:after="0" w:line="240" w:lineRule="auto"/>
            </w:pPr>
            <w:r/>
          </w:p>
        </w:tc>
      </w:tr>
    </w:tbl>
    <w:p>
      <w:pPr>
        <w:spacing w:before="20" w:after="20" w:line="264" w:lineRule="auto"/>
      </w:pPr>
      <w:r>
        <w:t>□ Pouvoir</w:t>
      </w:r>
    </w:p>
    <w:p>
      <w:pPr>
        <w:spacing w:before="20" w:after="20" w:line="264" w:lineRule="auto"/>
      </w:pPr>
      <w:r>
        <w:t>□ Hiérarchie</w:t>
      </w:r>
    </w:p>
    <w:p>
      <w:pPr>
        <w:spacing w:before="20" w:after="20" w:line="264" w:lineRule="auto"/>
      </w:pPr>
      <w:r>
        <w:t>□ Présence absente</w:t>
      </w:r>
    </w:p>
    <w:p>
      <w:pPr>
        <w:spacing w:before="20" w:after="20" w:line="264" w:lineRule="auto"/>
      </w:pPr>
      <w:r>
        <w:t>□ Miroir</w:t>
      </w:r>
    </w:p>
    <w:p>
      <w:pPr>
        <w:spacing w:before="20" w:after="20" w:line="264" w:lineRule="auto"/>
      </w:pPr>
      <w:r>
        <w:t>□ Codes sociaux</w:t>
      </w:r>
    </w:p>
    <w:p>
      <w:pPr>
        <w:spacing w:before="20" w:after="20" w:line="264" w:lineRule="auto"/>
      </w:pPr>
      <w:r>
        <w:t>□ Objet</w:t>
      </w:r>
    </w:p>
    <w:p>
      <w:pPr>
        <w:spacing w:before="20" w:after="20" w:line="264" w:lineRule="auto"/>
      </w:pPr>
      <w:r>
        <w:t>□ Évidence</w:t>
      </w:r>
    </w:p>
    <w:p>
      <w:pPr>
        <w:spacing w:before="20" w:after="20" w:line="264" w:lineRule="auto"/>
      </w:pPr>
      <w:r>
        <w:t>□ Fascination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AF0F6"/>
          </w:tcPr>
          <w:p>
            <w:pPr>
              <w:spacing w:before="40" w:after="40" w:line="240" w:lineRule="auto"/>
            </w:pPr>
            <w:r>
              <w:rPr>
                <w:b/>
                <w:color w:val="16365C"/>
                <w:sz w:val="21"/>
              </w:rPr>
              <w:t>CITATIONS À RETENIR (avec page/repère)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AF0F6"/>
          </w:tcPr>
          <w:p>
            <w:pPr>
              <w:spacing w:before="40" w:after="40" w:line="240" w:lineRule="auto"/>
            </w:pPr>
            <w:r>
              <w:rPr>
                <w:b/>
                <w:color w:val="16365C"/>
                <w:sz w:val="21"/>
              </w:rPr>
              <w:t>SCÈNES CLÉS (ce qui se passe + pourquoi c'est important)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AF0F6"/>
          </w:tcPr>
          <w:p>
            <w:pPr>
              <w:spacing w:before="40" w:after="40" w:line="240" w:lineRule="auto"/>
            </w:pPr>
            <w:r>
              <w:rPr>
                <w:b/>
                <w:color w:val="16365C"/>
                <w:sz w:val="21"/>
              </w:rPr>
              <w:t>NOTES PERSONNELLES (idée forte + preuve + exemple)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20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