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206"/>
      </w:tblGrid>
      <w:tr>
        <w:tc>
          <w:tcPr>
            <w:tcW w:type="dxa" w:w="10206"/>
            <w:shd w:val="clear" w:color="auto" w:fill="1F6F5B"/>
            <w:tcMar>
              <w:top w:w="160" w:type="dxa"/>
              <w:start w:w="160" w:type="dxa"/>
              <w:bottom w:w="160" w:type="dxa"/>
              <w:end w:w="16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Accord déterminant - nom - adjectif</w:t>
            </w:r>
          </w:p>
          <w:p>
            <w:pPr>
              <w:jc w:val="left"/>
            </w:pPr>
            <w:r>
              <w:rPr>
                <w:color w:val="E6F5F1"/>
                <w:sz w:val="23"/>
              </w:rPr>
              <w:t>Fiche mémo + points clés + mini-tests</w:t>
            </w:r>
          </w:p>
        </w:tc>
      </w:tr>
    </w:tbl>
    <w:p/>
    <w:p>
      <w:pPr>
        <w:spacing w:after="120"/>
      </w:pPr>
      <w:r>
        <w:rPr>
          <w:b/>
          <w:color w:val="1F6F5B"/>
        </w:rPr>
        <w:t xml:space="preserve">Idée centrale : </w:t>
      </w:r>
      <w:r>
        <w:rPr>
          <w:b w:val="0"/>
        </w:rPr>
        <w:t xml:space="preserve">repère le </w:t>
      </w:r>
      <w:r>
        <w:rPr>
          <w:b/>
        </w:rPr>
        <w:t>nom noyau</w:t>
      </w:r>
      <w:r>
        <w:rPr>
          <w:b w:val="0"/>
        </w:rPr>
        <w:t xml:space="preserve"> du groupe nominal : </w:t>
      </w:r>
      <w:r>
        <w:rPr>
          <w:b/>
          <w:color w:val="2A9D8F"/>
        </w:rPr>
        <w:t>déterminant</w:t>
      </w:r>
      <w:r>
        <w:rPr>
          <w:b w:val="0"/>
        </w:rPr>
        <w:t xml:space="preserve"> + </w:t>
      </w:r>
      <w:r>
        <w:rPr>
          <w:b/>
          <w:color w:val="E76F51"/>
        </w:rPr>
        <w:t>adjectif</w:t>
      </w:r>
      <w:r>
        <w:rPr>
          <w:b w:val="0"/>
        </w:rPr>
        <w:t xml:space="preserve"> s’alignent sur lui (genre + nombre).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03"/>
        <w:gridCol w:w="5103"/>
      </w:tblGrid>
      <w:tr>
        <w:tc>
          <w:tcPr>
            <w:tcW w:type="dxa" w:w="5103"/>
            <w:vAlign w:val="top"/>
            <w:tcMar>
              <w:top w:w="80" w:type="dxa"/>
              <w:start w:w="110" w:type="dxa"/>
              <w:bottom w:w="80" w:type="dxa"/>
              <w:end w:w="110" w:type="dxa"/>
            </w:tcMar>
          </w:tcPr>
          <w:p/>
          <w:p>
            <w:pPr>
              <w:spacing w:before="40" w:after="60"/>
            </w:pPr>
            <w:r>
              <w:rPr>
                <w:b/>
                <w:color w:val="1F6F5B"/>
                <w:sz w:val="25"/>
              </w:rPr>
              <w:t>1) Accords du déterminant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 xml:space="preserve">Le déterminant s’accorde avec le </w:t>
            </w:r>
            <w:r>
              <w:rPr>
                <w:b/>
                <w:sz w:val="21"/>
              </w:rPr>
              <w:t>nom</w:t>
            </w:r>
            <w:r>
              <w:rPr>
                <w:b w:val="0"/>
                <w:sz w:val="21"/>
              </w:rPr>
              <w:t xml:space="preserve"> (genre + nombre).</w:t>
            </w:r>
          </w:p>
          <w:tbl>
            <w:tblPr>
              <w:tblW w:type="auto" w:w="0"/>
              <w:jc w:val="center"/>
              <w:tblLayout w:type="autofit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1276"/>
              <w:gridCol w:w="1276"/>
              <w:gridCol w:w="1276"/>
              <w:gridCol w:w="1276"/>
            </w:tblGrid>
            <w:tr>
              <w:tc>
                <w:tcPr>
                  <w:tcW w:type="dxa" w:w="1276"/>
                  <w:shd w:val="clear" w:color="auto" w:fill="E8F5F1"/>
                  <w:tcMar>
                    <w:top w:w="60" w:type="dxa"/>
                    <w:start w:w="60" w:type="dxa"/>
                    <w:bottom w:w="6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b/>
                      <w:color w:val="1F6F5B"/>
                      <w:sz w:val="20"/>
                    </w:rPr>
                    <w:t>Type</w:t>
                  </w:r>
                </w:p>
              </w:tc>
              <w:tc>
                <w:tcPr>
                  <w:tcW w:type="dxa" w:w="1276"/>
                  <w:shd w:val="clear" w:color="auto" w:fill="E8F5F1"/>
                  <w:tcMar>
                    <w:top w:w="60" w:type="dxa"/>
                    <w:start w:w="60" w:type="dxa"/>
                    <w:bottom w:w="6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b/>
                      <w:color w:val="1F6F5B"/>
                      <w:sz w:val="20"/>
                    </w:rPr>
                    <w:t>Masculin</w:t>
                  </w:r>
                </w:p>
              </w:tc>
              <w:tc>
                <w:tcPr>
                  <w:tcW w:type="dxa" w:w="1276"/>
                  <w:shd w:val="clear" w:color="auto" w:fill="E8F5F1"/>
                  <w:tcMar>
                    <w:top w:w="60" w:type="dxa"/>
                    <w:start w:w="60" w:type="dxa"/>
                    <w:bottom w:w="6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b/>
                      <w:color w:val="1F6F5B"/>
                      <w:sz w:val="20"/>
                    </w:rPr>
                    <w:t>Féminin</w:t>
                  </w:r>
                </w:p>
              </w:tc>
              <w:tc>
                <w:tcPr>
                  <w:tcW w:type="dxa" w:w="1276"/>
                  <w:shd w:val="clear" w:color="auto" w:fill="E8F5F1"/>
                  <w:tcMar>
                    <w:top w:w="60" w:type="dxa"/>
                    <w:start w:w="60" w:type="dxa"/>
                    <w:bottom w:w="6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b/>
                      <w:color w:val="1F6F5B"/>
                      <w:sz w:val="20"/>
                    </w:rPr>
                    <w:t>Pluriel</w:t>
                  </w:r>
                </w:p>
              </w:tc>
            </w:tr>
            <w:tr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left"/>
                  </w:pPr>
                  <w:r>
                    <w:rPr>
                      <w:b/>
                      <w:sz w:val="20"/>
                    </w:rPr>
                    <w:t>Défini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le / l’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la / l’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les</w:t>
                  </w:r>
                </w:p>
              </w:tc>
            </w:tr>
            <w:tr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left"/>
                  </w:pPr>
                  <w:r>
                    <w:rPr>
                      <w:b/>
                      <w:sz w:val="20"/>
                    </w:rPr>
                    <w:t>Indéfini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un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une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des</w:t>
                  </w:r>
                </w:p>
              </w:tc>
            </w:tr>
            <w:tr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left"/>
                  </w:pPr>
                  <w:r>
                    <w:rPr>
                      <w:b/>
                      <w:sz w:val="20"/>
                    </w:rPr>
                    <w:t>Démonstratif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ce / cet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cette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ces</w:t>
                  </w:r>
                </w:p>
              </w:tc>
            </w:tr>
            <w:tr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left"/>
                  </w:pPr>
                  <w:r>
                    <w:rPr>
                      <w:b/>
                      <w:sz w:val="20"/>
                    </w:rPr>
                    <w:t>Possessif (ex.)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mon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ma</w:t>
                  </w:r>
                </w:p>
              </w:tc>
              <w:tc>
                <w:tcPr>
                  <w:tcW w:type="dxa" w:w="127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  <w:jc w:val="center"/>
                  </w:pPr>
                  <w:r>
                    <w:rPr>
                      <w:sz w:val="20"/>
                    </w:rPr>
                    <w:t>mes</w:t>
                  </w:r>
                </w:p>
              </w:tc>
            </w:tr>
          </w:tbl>
          <w:p/>
          <w:p>
            <w:pPr>
              <w:spacing w:before="0" w:after="40"/>
            </w:pPr>
            <w:r>
              <w:rPr>
                <w:i w:val="0"/>
                <w:color w:val="505050"/>
                <w:sz w:val="19"/>
              </w:rPr>
              <w:t>Astuce : “mon/ton/son” devant un nom féminin commençant par voyelle ou h muet : mon amie, ton histoire, son école.</w:t>
            </w:r>
          </w:p>
          <w:p>
            <w:pPr>
              <w:spacing w:before="40" w:after="60"/>
            </w:pPr>
            <w:r>
              <w:rPr>
                <w:b/>
                <w:color w:val="1F6F5B"/>
                <w:sz w:val="25"/>
              </w:rPr>
              <w:t>2) Accords de l’adjectif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 xml:space="preserve">L’adjectif s’accorde avec le </w:t>
            </w:r>
            <w:r>
              <w:rPr>
                <w:b/>
                <w:sz w:val="21"/>
              </w:rPr>
              <w:t>nom</w:t>
            </w:r>
            <w:r>
              <w:rPr>
                <w:b w:val="0"/>
                <w:sz w:val="21"/>
              </w:rPr>
              <w:t xml:space="preserve"> (genre + nombre).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 xml:space="preserve">Féminin : souvent </w:t>
            </w:r>
            <w:r>
              <w:rPr>
                <w:b/>
                <w:sz w:val="21"/>
              </w:rPr>
              <w:t>+ e</w:t>
            </w:r>
            <w:r>
              <w:rPr>
                <w:b w:val="0"/>
                <w:sz w:val="21"/>
              </w:rPr>
              <w:t xml:space="preserve"> (petit→petite), avec des formes fréquentes :</w:t>
            </w:r>
          </w:p>
          <w:p>
            <w:pPr>
              <w:pStyle w:val="ListBullet"/>
              <w:spacing w:before="0" w:after="30"/>
              <w:ind w:left="369" w:hanging="170"/>
            </w:pPr>
            <w:r>
              <w:rPr>
                <w:b w:val="0"/>
                <w:sz w:val="21"/>
              </w:rPr>
              <w:t>-er→-ère (léger→légère), -if→-ive (sportif→sportive), -eux→-euse (heureux→heureuse).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 xml:space="preserve">Pluriel : souvent </w:t>
            </w:r>
            <w:r>
              <w:rPr>
                <w:b/>
                <w:sz w:val="21"/>
              </w:rPr>
              <w:t>+ s</w:t>
            </w:r>
            <w:r>
              <w:rPr>
                <w:b w:val="0"/>
                <w:sz w:val="21"/>
              </w:rPr>
              <w:t xml:space="preserve"> (grande→grandes).</w:t>
            </w:r>
          </w:p>
          <w:p>
            <w:pPr>
              <w:pStyle w:val="ListBullet"/>
              <w:spacing w:before="0" w:after="30"/>
              <w:ind w:left="369" w:hanging="170"/>
            </w:pPr>
            <w:r>
              <w:rPr>
                <w:b w:val="0"/>
                <w:sz w:val="21"/>
              </w:rPr>
              <w:t>Cas fréquents : -al→-aux (général→généraux) ; exceptions : banal/final/fatal→banals/finals/fatals.</w:t>
            </w:r>
          </w:p>
        </w:tc>
        <w:tc>
          <w:tcPr>
            <w:tcW w:type="dxa" w:w="5103"/>
            <w:vAlign w:val="top"/>
            <w:tcMar>
              <w:top w:w="80" w:type="dxa"/>
              <w:start w:w="110" w:type="dxa"/>
              <w:bottom w:w="80" w:type="dxa"/>
              <w:end w:w="110" w:type="dxa"/>
            </w:tcMar>
          </w:tcPr>
          <w:p/>
          <w:p>
            <w:pPr>
              <w:spacing w:before="40" w:after="60"/>
            </w:pPr>
            <w:r>
              <w:rPr>
                <w:b/>
                <w:color w:val="1F6F5B"/>
                <w:sz w:val="25"/>
              </w:rPr>
              <w:t>3) Cas particuliers à retenir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 xml:space="preserve">Devant voyelle (m. sing.) : </w:t>
            </w:r>
            <w:r>
              <w:rPr>
                <w:b/>
                <w:color w:val="E76F51"/>
                <w:sz w:val="21"/>
              </w:rPr>
              <w:t>bel</w:t>
            </w:r>
            <w:r>
              <w:rPr>
                <w:b w:val="0"/>
                <w:sz w:val="21"/>
              </w:rPr>
              <w:t xml:space="preserve">, </w:t>
            </w:r>
            <w:r>
              <w:rPr>
                <w:b/>
                <w:color w:val="E76F51"/>
                <w:sz w:val="21"/>
              </w:rPr>
              <w:t>nouvel</w:t>
            </w:r>
            <w:r>
              <w:rPr>
                <w:b w:val="0"/>
                <w:sz w:val="21"/>
              </w:rPr>
              <w:t xml:space="preserve">, </w:t>
            </w:r>
            <w:r>
              <w:rPr>
                <w:b/>
                <w:color w:val="E76F51"/>
                <w:sz w:val="21"/>
              </w:rPr>
              <w:t>vieil</w:t>
            </w:r>
            <w:r>
              <w:rPr>
                <w:b w:val="0"/>
                <w:sz w:val="21"/>
              </w:rPr>
              <w:t xml:space="preserve"> (bel homme, nouvel élève, vieil ami).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/>
                <w:sz w:val="21"/>
              </w:rPr>
              <w:t xml:space="preserve">“des” → “de” </w:t>
            </w:r>
            <w:r>
              <w:rPr>
                <w:b w:val="0"/>
                <w:sz w:val="21"/>
              </w:rPr>
              <w:t>devant un adjectif placé avant le nom : de beaux livres, d’excellentes idées.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>Couleurs : bleues/noires s’accordent ; marron, kaki, orange sont souvent invariables ; bleu clair/vert foncé restent souvent invariables.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>Avec deux noms : féminin pluriel si tout est féminin ; masculin pluriel dès qu’il y a au moins un masculin.</w:t>
            </w:r>
          </w:p>
          <w:p>
            <w:pPr>
              <w:spacing w:before="40" w:after="60"/>
            </w:pPr>
            <w:r>
              <w:rPr>
                <w:b/>
                <w:color w:val="1F6F5B"/>
                <w:sz w:val="25"/>
              </w:rPr>
              <w:t>4) Méthode express (30 secondes)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>✓ Je repère le nom noyau.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>✓ Je décide : masculin/féminin ? singulier/pluriel ?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>✓ J’accorde le déterminant.</w:t>
            </w:r>
          </w:p>
          <w:p>
            <w:pPr>
              <w:pStyle w:val="ListBullet"/>
              <w:spacing w:before="0" w:after="30"/>
              <w:ind w:left="170" w:hanging="170"/>
            </w:pPr>
            <w:r>
              <w:rPr>
                <w:b w:val="0"/>
                <w:sz w:val="21"/>
              </w:rPr>
              <w:t>✓ J’accorde l’adjectif (et je vérifie les cas spéciaux).</w:t>
            </w:r>
          </w:p>
          <w:p>
            <w:pPr>
              <w:spacing w:before="40" w:after="60"/>
            </w:pPr>
            <w:r>
              <w:rPr>
                <w:b/>
                <w:color w:val="1F6F5B"/>
                <w:sz w:val="25"/>
              </w:rPr>
              <w:t>5) Mini-tests flash</w:t>
            </w:r>
          </w:p>
          <w:p>
            <w:pPr>
              <w:spacing w:after="30"/>
            </w:pPr>
            <w:r>
              <w:rPr>
                <w:sz w:val="21"/>
              </w:rPr>
              <w:t>• … (ce) amie … (fidèle)</w:t>
            </w:r>
          </w:p>
          <w:p>
            <w:pPr>
              <w:spacing w:after="50"/>
            </w:pPr>
            <w:r>
              <w:rPr>
                <w:color w:val="5A5A5A"/>
                <w:sz w:val="19"/>
              </w:rPr>
              <w:t>Réponse : cette amie fidèle</w:t>
            </w:r>
          </w:p>
          <w:p>
            <w:pPr>
              <w:spacing w:after="30"/>
            </w:pPr>
            <w:r>
              <w:rPr>
                <w:sz w:val="21"/>
              </w:rPr>
              <w:t>• … (des/de) grands arbres</w:t>
            </w:r>
          </w:p>
          <w:p>
            <w:pPr>
              <w:spacing w:after="50"/>
            </w:pPr>
            <w:r>
              <w:rPr>
                <w:color w:val="5A5A5A"/>
                <w:sz w:val="19"/>
              </w:rPr>
              <w:t>Réponse : de grands arbres</w:t>
            </w:r>
          </w:p>
          <w:p>
            <w:pPr>
              <w:spacing w:after="30"/>
            </w:pPr>
            <w:r>
              <w:rPr>
                <w:sz w:val="21"/>
              </w:rPr>
              <w:t>• … (mon/ma) histoire … (incroyable)</w:t>
            </w:r>
          </w:p>
          <w:p>
            <w:pPr>
              <w:spacing w:after="50"/>
            </w:pPr>
            <w:r>
              <w:rPr>
                <w:color w:val="5A5A5A"/>
                <w:sz w:val="19"/>
              </w:rPr>
              <w:t>Réponse : mon histoire incroyable</w:t>
            </w:r>
          </w:p>
          <w:p>
            <w:pPr>
              <w:spacing w:after="30"/>
            </w:pPr>
            <w:r>
              <w:rPr>
                <w:sz w:val="21"/>
              </w:rPr>
              <w:t>• Une fille et un garçon … (heureux)</w:t>
            </w:r>
          </w:p>
          <w:p>
            <w:pPr>
              <w:spacing w:after="50"/>
            </w:pPr>
            <w:r>
              <w:rPr>
                <w:color w:val="5A5A5A"/>
                <w:sz w:val="19"/>
              </w:rPr>
              <w:t>Réponse : heureux</w:t>
            </w:r>
          </w:p>
          <w:p>
            <w:pPr>
              <w:spacing w:after="30"/>
            </w:pPr>
            <w:r>
              <w:rPr>
                <w:sz w:val="21"/>
              </w:rPr>
              <w:t>• Des chemises bleu clair … (propre)</w:t>
            </w:r>
          </w:p>
          <w:p>
            <w:pPr>
              <w:spacing w:after="50"/>
            </w:pPr>
            <w:r>
              <w:rPr>
                <w:color w:val="5A5A5A"/>
                <w:sz w:val="19"/>
              </w:rPr>
              <w:t>Réponse : propres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206"/>
      </w:tblGrid>
      <w:tr>
        <w:tc>
          <w:tcPr>
            <w:tcW w:type="dxa" w:w="10206"/>
            <w:shd w:val="clear" w:color="auto" w:fill="FFF4E6"/>
            <w:tcMar>
              <w:top w:w="120" w:type="dxa"/>
              <w:start w:w="140" w:type="dxa"/>
              <w:bottom w:w="120" w:type="dxa"/>
              <w:end w:w="140" w:type="dxa"/>
            </w:tcMar>
            <w:vAlign w:val="top"/>
          </w:tcPr>
          <w:p>
            <w:r>
              <w:rPr>
                <w:b/>
                <w:color w:val="B45309"/>
                <w:sz w:val="24"/>
              </w:rPr>
              <w:t>Pièges à éviter</w:t>
            </w:r>
          </w:p>
          <w:p>
            <w:pPr>
              <w:spacing w:after="10"/>
            </w:pPr>
            <w:r>
              <w:rPr>
                <w:sz w:val="20"/>
              </w:rPr>
              <w:t>• Ne pas accorder le possessif avec le possesseur : sa voiture (voiture = féminin).</w:t>
            </w:r>
          </w:p>
          <w:p>
            <w:pPr>
              <w:spacing w:after="10"/>
            </w:pPr>
            <w:r>
              <w:rPr>
                <w:sz w:val="20"/>
              </w:rPr>
              <w:t>• Ne pas oublier “cet” : cet arbre / cet enfant / cet homme.</w:t>
            </w:r>
          </w:p>
          <w:p>
            <w:pPr>
              <w:spacing w:after="10"/>
            </w:pPr>
            <w:r>
              <w:rPr>
                <w:sz w:val="20"/>
              </w:rPr>
              <w:t>• Vérifier le pluriel à distance : ces voitures rouges sont neuves.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737" w:right="85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40" w:before="0" w:line="252" w:lineRule="auto"/>
    </w:pPr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