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10426"/>
      </w:tblGrid>
      <w:tr>
        <w:tc>
          <w:tcPr>
            <w:tcW w:type="dxa" w:w="10426"/>
            <w:shd w:val="clear" w:color="auto" w:fill="0F2D52"/>
            <w:vAlign w:val="center"/>
          </w:tcPr>
          <w:p>
            <w:pPr>
              <w:spacing w:before="80" w:after="0" w:line="240" w:lineRule="auto"/>
              <w:jc w:val="center"/>
            </w:pPr>
            <w:r>
              <w:rPr>
                <w:rFonts w:ascii="Calibri" w:hAnsi="Calibri"/>
                <w:b/>
                <w:color w:val="FFFFFF"/>
                <w:sz w:val="36"/>
              </w:rPr>
              <w:t>FICHE DE LECTURE</w:t>
            </w:r>
          </w:p>
        </w:tc>
      </w:tr>
      <w:tr>
        <w:tc>
          <w:tcPr>
            <w:tcW w:type="dxa" w:w="10426"/>
            <w:shd w:val="clear" w:color="auto" w:fill="F4F7FB"/>
            <w:vAlign w:val="center"/>
          </w:tcPr>
          <w:p>
            <w:pPr>
              <w:spacing w:before="120" w:after="120" w:line="252" w:lineRule="auto"/>
              <w:jc w:val="center"/>
            </w:pPr>
            <w:r>
              <w:rPr>
                <w:rFonts w:ascii="Calibri" w:hAnsi="Calibri"/>
                <w:b/>
                <w:color w:val="0F2D52"/>
                <w:sz w:val="40"/>
              </w:rPr>
              <w:t>Les Bonnes — Jean Genet</w:t>
            </w:r>
            <w:r>
              <w:br/>
            </w:r>
            <w:r>
              <w:rPr>
                <w:rFonts w:ascii="Calibri" w:hAnsi="Calibri"/>
                <w:b w:val="0"/>
                <w:color w:val="0B7285"/>
                <w:sz w:val="22"/>
              </w:rPr>
              <w:t>Théâtre • Pièce créée en 1947 • 3 personnages principaux</w:t>
            </w:r>
          </w:p>
        </w:tc>
      </w:tr>
    </w:tbl>
    <w:p/>
    <w:tbl>
      <w:tblPr>
        <w:tblW w:type="auto" w:w="0"/>
        <w:jc w:val="center"/>
        <w:tblLayout w:type="fixed"/>
        <w:tblLook w:firstColumn="1" w:firstRow="1" w:lastColumn="0" w:lastRow="0" w:noHBand="0" w:noVBand="1" w:val="04A0"/>
      </w:tblPr>
      <w:tblGrid>
        <w:gridCol w:w="2606"/>
        <w:gridCol w:w="2606"/>
        <w:gridCol w:w="2606"/>
        <w:gridCol w:w="2606"/>
      </w:tblGrid>
      <w:tr>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Titre</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Les Bonnes</w:t>
            </w:r>
          </w:p>
        </w:tc>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Auteur</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Jean Genet</w:t>
            </w:r>
          </w:p>
        </w:tc>
      </w:tr>
      <w:tr>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Genre</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Théâtre (pièce en un acte)</w:t>
            </w:r>
          </w:p>
        </w:tc>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Date / création</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1947 (création) / 1947 (publication)</w:t>
            </w:r>
          </w:p>
        </w:tc>
      </w:tr>
      <w:tr>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Lieu principal</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Chambre de Madame (huis clos)</w:t>
            </w:r>
          </w:p>
        </w:tc>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Personnages</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Claire, Solange, Madame</w:t>
            </w:r>
          </w:p>
        </w:tc>
      </w:tr>
      <w:tr>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Thèmes clés</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Domination, masque, rituel, désir/haine, langage</w:t>
            </w:r>
          </w:p>
        </w:tc>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Mots-clés</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théâtre dans le théâtre, mise en abyme, travestissement</w:t>
            </w:r>
          </w:p>
        </w:tc>
      </w:tr>
      <w:tr>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Registre</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Tragique / satirique / cérémoniel</w:t>
            </w:r>
          </w:p>
        </w:tc>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Particularité</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Jeu de rôle qui déborde sur le réel</w:t>
            </w:r>
          </w:p>
        </w:tc>
      </w:tr>
      <w:tr>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Lecture rapide</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Résumé + axes d’analyse + plans</w:t>
            </w:r>
          </w:p>
        </w:tc>
        <w:tc>
          <w:tcPr>
            <w:tcW w:type="dxa" w:w="1814"/>
            <w:shd w:val="clear" w:color="auto" w:fill="E9EFF7"/>
            <w:vAlign w:val="center"/>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color w:val="0F2D52"/>
                <w:sz w:val="20"/>
              </w:rPr>
              <w:t>Niveau</w:t>
            </w:r>
          </w:p>
        </w:tc>
        <w:tc>
          <w:tcPr>
            <w:tcW w:type="dxa" w:w="3572"/>
            <w:tcBorders>
              <w:left w:sz="6" w:val="single" w:color="D6DEE8"/>
              <w:top w:sz="6" w:val="single" w:color="D6DEE8"/>
              <w:right w:sz="6" w:val="single" w:color="D6DEE8"/>
              <w:bottom w:sz="6" w:val="single" w:color="D6DEE8"/>
            </w:tcBorders>
          </w:tcPr>
          <w:p>
            <w:pPr>
              <w:spacing w:before="0" w:after="0" w:line="240" w:lineRule="auto"/>
            </w:pPr>
            <w:r/>
            <w:r>
              <w:rPr>
                <w:rFonts w:ascii="Calibri" w:hAnsi="Calibri"/>
                <w:b w:val="0"/>
                <w:color w:val="333333"/>
                <w:sz w:val="20"/>
              </w:rPr>
              <w:t>Collège / Lycée</w:t>
            </w:r>
          </w:p>
        </w:tc>
      </w:tr>
    </w:tbl>
    <w:p/>
    <w:p>
      <w:pPr>
        <w:spacing w:before="200" w:after="120" w:line="240" w:lineRule="auto"/>
        <w:pBdr>
          <w:bottom w:val="single" w:sz="8" w:space="1" w:color="0B7285"/>
        </w:pBdr>
      </w:pPr>
      <w:r>
        <w:rPr>
          <w:rFonts w:ascii="Calibri" w:hAnsi="Calibri"/>
          <w:b/>
          <w:color w:val="0B7285"/>
          <w:sz w:val="24"/>
        </w:rPr>
        <w:t>1) RÉSUMÉ</w:t>
      </w:r>
    </w:p>
    <w:p>
      <w:pPr>
        <w:spacing w:before="0" w:after="80" w:line="276" w:lineRule="auto"/>
      </w:pPr>
      <w:r>
        <w:rPr>
          <w:rFonts w:ascii="Calibri" w:hAnsi="Calibri"/>
          <w:b/>
          <w:color w:val="0F2D52"/>
          <w:sz w:val="22"/>
        </w:rPr>
        <w:t xml:space="preserve">Résumé court : </w:t>
      </w:r>
      <w:r>
        <w:t>Deux sœurs domestiques, Claire et Solange, rejouent dans la chambre de leur maîtresse un rituel de travestissement et de haine. Leur jeu de rôle répète un fantasme de meurtre qui se heurte au réel, jusqu’à une issue tragique.</w:t>
      </w:r>
    </w:p>
    <w:p>
      <w:pPr>
        <w:spacing w:before="40" w:after="40" w:line="276" w:lineRule="auto"/>
      </w:pPr>
      <w:r>
        <w:rPr>
          <w:rFonts w:ascii="Calibri" w:hAnsi="Calibri"/>
          <w:b/>
          <w:color w:val="0F2D52"/>
          <w:sz w:val="22"/>
        </w:rPr>
        <w:t>Résumé détaillé :</w:t>
      </w:r>
    </w:p>
    <w:p>
      <w:pPr>
        <w:spacing w:before="0" w:after="0" w:line="269" w:lineRule="auto"/>
      </w:pPr>
      <w:r>
        <w:t>• En l’absence de Madame, Claire et Solange transforment la chambre en scène : l’une joue Madame, l’autre la bonne, puis les rôles s’inversent.</w:t>
      </w:r>
    </w:p>
    <w:p>
      <w:pPr>
        <w:spacing w:before="0" w:after="0" w:line="269" w:lineRule="auto"/>
      </w:pPr>
      <w:r>
        <w:t>• Le jeu libère la rage et met en mots l’humiliation sociale, la fascination pour la richesse et le désir de domination.</w:t>
      </w:r>
    </w:p>
    <w:p>
      <w:pPr>
        <w:spacing w:before="0" w:after="0" w:line="269" w:lineRule="auto"/>
      </w:pPr>
      <w:r>
        <w:t>• Un projet de poison/mise à mort se prépare comme une répétition générale. Mais l’acte « réel » échappe, et la représentation se referme sur elles.</w:t>
      </w:r>
    </w:p>
    <w:p>
      <w:pPr>
        <w:spacing w:before="0" w:after="0" w:line="269" w:lineRule="auto"/>
      </w:pPr>
      <w:r>
        <w:t>• La pièce avance comme une cérémonie : plus elles jouent, plus elles s’enferment dans leurs masques, jusqu’à la rupture finale.</w:t>
      </w:r>
    </w:p>
    <w:p>
      <w:r>
        <w:br w:type="page"/>
      </w:r>
    </w:p>
    <w:p>
      <w:pPr>
        <w:spacing w:before="200" w:after="120" w:line="240" w:lineRule="auto"/>
        <w:pBdr>
          <w:bottom w:val="single" w:sz="8" w:space="1" w:color="0B7285"/>
        </w:pBdr>
      </w:pPr>
      <w:r>
        <w:rPr>
          <w:rFonts w:ascii="Calibri" w:hAnsi="Calibri"/>
          <w:b/>
          <w:color w:val="0B7285"/>
          <w:sz w:val="24"/>
        </w:rPr>
        <w:t>2) PERSONNAGES (RÔLE + PORTRAIT RAPIDE)</w:t>
      </w:r>
    </w:p>
    <w:tbl>
      <w:tblPr>
        <w:tblW w:type="auto" w:w="0"/>
        <w:jc w:val="center"/>
        <w:tblLayout w:type="fixed"/>
        <w:tblLook w:firstColumn="1" w:firstRow="1" w:lastColumn="0" w:lastRow="0" w:noHBand="0" w:noVBand="1" w:val="04A0"/>
      </w:tblPr>
      <w:tblGrid>
        <w:gridCol w:w="2606"/>
        <w:gridCol w:w="2606"/>
        <w:gridCol w:w="2606"/>
        <w:gridCol w:w="2606"/>
      </w:tblGrid>
      <w:tr>
        <w:tc>
          <w:tcPr>
            <w:tcW w:type="dxa" w:w="1814"/>
            <w:shd w:val="clear" w:color="auto" w:fill="0F2D52"/>
            <w:tcBorders>
              <w:left w:sz="6" w:val="single" w:color="0F2D52"/>
              <w:top w:sz="6" w:val="single" w:color="0F2D52"/>
              <w:right w:sz="6" w:val="single" w:color="0F2D52"/>
              <w:bottom w:sz="6" w:val="single" w:color="0F2D52"/>
            </w:tcBorders>
          </w:tcPr>
          <w:p>
            <w:pPr>
              <w:spacing w:before="40" w:after="40" w:line="240" w:lineRule="auto"/>
              <w:jc w:val="center"/>
            </w:pPr>
            <w:r/>
            <w:r>
              <w:rPr>
                <w:rFonts w:ascii="Calibri" w:hAnsi="Calibri"/>
                <w:b/>
                <w:color w:val="FFFFFF"/>
                <w:sz w:val="20"/>
              </w:rPr>
              <w:t>Personnage</w:t>
            </w:r>
          </w:p>
        </w:tc>
        <w:tc>
          <w:tcPr>
            <w:tcW w:type="dxa" w:w="2438"/>
            <w:shd w:val="clear" w:color="auto" w:fill="0F2D52"/>
            <w:tcBorders>
              <w:left w:sz="6" w:val="single" w:color="0F2D52"/>
              <w:top w:sz="6" w:val="single" w:color="0F2D52"/>
              <w:right w:sz="6" w:val="single" w:color="0F2D52"/>
              <w:bottom w:sz="6" w:val="single" w:color="0F2D52"/>
            </w:tcBorders>
          </w:tcPr>
          <w:p>
            <w:pPr>
              <w:spacing w:before="40" w:after="40" w:line="240" w:lineRule="auto"/>
              <w:jc w:val="center"/>
            </w:pPr>
            <w:r/>
            <w:r>
              <w:rPr>
                <w:rFonts w:ascii="Calibri" w:hAnsi="Calibri"/>
                <w:b/>
                <w:color w:val="FFFFFF"/>
                <w:sz w:val="20"/>
              </w:rPr>
              <w:t>Statut</w:t>
            </w:r>
          </w:p>
        </w:tc>
        <w:tc>
          <w:tcPr>
            <w:tcW w:type="dxa" w:w="3969"/>
            <w:shd w:val="clear" w:color="auto" w:fill="0F2D52"/>
            <w:tcBorders>
              <w:left w:sz="6" w:val="single" w:color="0F2D52"/>
              <w:top w:sz="6" w:val="single" w:color="0F2D52"/>
              <w:right w:sz="6" w:val="single" w:color="0F2D52"/>
              <w:bottom w:sz="6" w:val="single" w:color="0F2D52"/>
            </w:tcBorders>
          </w:tcPr>
          <w:p>
            <w:pPr>
              <w:spacing w:before="40" w:after="40" w:line="240" w:lineRule="auto"/>
              <w:jc w:val="center"/>
            </w:pPr>
            <w:r/>
            <w:r>
              <w:rPr>
                <w:rFonts w:ascii="Calibri" w:hAnsi="Calibri"/>
                <w:b/>
                <w:color w:val="FFFFFF"/>
                <w:sz w:val="20"/>
              </w:rPr>
              <w:t>Traits / motivations</w:t>
            </w:r>
          </w:p>
        </w:tc>
        <w:tc>
          <w:tcPr>
            <w:tcW w:type="dxa" w:w="2098"/>
            <w:shd w:val="clear" w:color="auto" w:fill="0F2D52"/>
            <w:tcBorders>
              <w:left w:sz="6" w:val="single" w:color="0F2D52"/>
              <w:top w:sz="6" w:val="single" w:color="0F2D52"/>
              <w:right w:sz="6" w:val="single" w:color="0F2D52"/>
              <w:bottom w:sz="6" w:val="single" w:color="0F2D52"/>
            </w:tcBorders>
          </w:tcPr>
          <w:p>
            <w:pPr>
              <w:spacing w:before="40" w:after="40" w:line="240" w:lineRule="auto"/>
              <w:jc w:val="center"/>
            </w:pPr>
            <w:r/>
            <w:r>
              <w:rPr>
                <w:rFonts w:ascii="Calibri" w:hAnsi="Calibri"/>
                <w:b/>
                <w:color w:val="FFFFFF"/>
                <w:sz w:val="20"/>
              </w:rPr>
              <w:t>À retenir</w:t>
            </w:r>
          </w:p>
        </w:tc>
      </w:tr>
      <w:tr>
        <w:tc>
          <w:tcPr>
            <w:tcW w:type="dxa" w:w="1814"/>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Claire</w:t>
            </w:r>
          </w:p>
        </w:tc>
        <w:tc>
          <w:tcPr>
            <w:tcW w:type="dxa" w:w="2438"/>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Bonne (sœur)</w:t>
            </w:r>
          </w:p>
        </w:tc>
        <w:tc>
          <w:tcPr>
            <w:tcW w:type="dxa" w:w="3969"/>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La plus incendiaire : elle veut franchir la limite. Elle se perd dans l’imitation de Madame, entre désir et haine.</w:t>
            </w:r>
          </w:p>
        </w:tc>
        <w:tc>
          <w:tcPr>
            <w:tcW w:type="dxa" w:w="2098"/>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Masque • vertige • passage à l’acte</w:t>
            </w:r>
          </w:p>
        </w:tc>
      </w:tr>
      <w:tr>
        <w:tc>
          <w:tcPr>
            <w:tcW w:type="dxa" w:w="1814"/>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Solange</w:t>
            </w:r>
          </w:p>
        </w:tc>
        <w:tc>
          <w:tcPr>
            <w:tcW w:type="dxa" w:w="2438"/>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Bonne (sœur)</w:t>
            </w:r>
          </w:p>
        </w:tc>
        <w:tc>
          <w:tcPr>
            <w:tcW w:type="dxa" w:w="3969"/>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Plus « lucide »/stratégique : elle participe au rituel, mais mesure son danger. Oscille entre protection et domination.</w:t>
            </w:r>
          </w:p>
        </w:tc>
        <w:tc>
          <w:tcPr>
            <w:tcW w:type="dxa" w:w="2098"/>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Double • rivalité • lucidité</w:t>
            </w:r>
          </w:p>
        </w:tc>
      </w:tr>
      <w:tr>
        <w:tc>
          <w:tcPr>
            <w:tcW w:type="dxa" w:w="1814"/>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Madame</w:t>
            </w:r>
          </w:p>
        </w:tc>
        <w:tc>
          <w:tcPr>
            <w:tcW w:type="dxa" w:w="2438"/>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Maîtresse</w:t>
            </w:r>
          </w:p>
        </w:tc>
        <w:tc>
          <w:tcPr>
            <w:tcW w:type="dxa" w:w="3969"/>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Figure de pouvoir et de fascination. Même absente, elle règne par ses objets, ses codes et sa place sociale.</w:t>
            </w:r>
          </w:p>
        </w:tc>
        <w:tc>
          <w:tcPr>
            <w:tcW w:type="dxa" w:w="2098"/>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Hiérarchie • miroir • idole/ennemie</w:t>
            </w:r>
          </w:p>
        </w:tc>
      </w:tr>
    </w:tbl>
    <w:p/>
    <w:p>
      <w:pPr>
        <w:spacing w:before="200" w:after="120" w:line="240" w:lineRule="auto"/>
        <w:pBdr>
          <w:bottom w:val="single" w:sz="8" w:space="1" w:color="0B7285"/>
        </w:pBdr>
      </w:pPr>
      <w:r>
        <w:rPr>
          <w:rFonts w:ascii="Calibri" w:hAnsi="Calibri"/>
          <w:b/>
          <w:color w:val="0B7285"/>
          <w:sz w:val="24"/>
        </w:rPr>
        <w:t>3) THÈMES ET ENJEUX (CASES À COCHER)</w:t>
      </w:r>
    </w:p>
    <w:p>
      <w:pPr>
        <w:spacing w:before="0" w:after="0" w:line="264" w:lineRule="auto"/>
      </w:pPr>
      <w:r>
        <w:t>□ Domination sociale et humiliation (maîtresse / domestiques)</w:t>
      </w:r>
    </w:p>
    <w:p>
      <w:pPr>
        <w:spacing w:before="0" w:after="0" w:line="264" w:lineRule="auto"/>
      </w:pPr>
      <w:r>
        <w:t>□ Masque, travestissement, imitation : l’identité comme rôle</w:t>
      </w:r>
    </w:p>
    <w:p>
      <w:pPr>
        <w:spacing w:before="0" w:after="0" w:line="264" w:lineRule="auto"/>
      </w:pPr>
      <w:r>
        <w:t>□ Théâtre dans le théâtre : mise en abyme, répétition, cérémonie</w:t>
      </w:r>
    </w:p>
    <w:p>
      <w:pPr>
        <w:spacing w:before="0" w:after="0" w:line="264" w:lineRule="auto"/>
      </w:pPr>
      <w:r>
        <w:t>□ Haine et fascination : désir du pouvoir, jalousie, dépendance</w:t>
      </w:r>
    </w:p>
    <w:p>
      <w:pPr>
        <w:spacing w:before="0" w:after="0" w:line="264" w:lineRule="auto"/>
      </w:pPr>
      <w:r>
        <w:t>□ Violence du langage : la parole comme arme</w:t>
      </w:r>
    </w:p>
    <w:p>
      <w:pPr>
        <w:spacing w:before="0" w:after="0" w:line="264" w:lineRule="auto"/>
      </w:pPr>
      <w:r>
        <w:t>□ Échec du passage à l’acte : le réel résiste à la mise en scène</w:t>
      </w:r>
    </w:p>
    <w:p>
      <w:pPr>
        <w:spacing w:before="0" w:after="0" w:line="264" w:lineRule="auto"/>
      </w:pPr>
      <w:r>
        <w:t>□ Huis clos : tension, enfermement, montée tragique</w:t>
      </w:r>
    </w:p>
    <w:p>
      <w:pPr>
        <w:spacing w:before="200" w:after="120" w:line="240" w:lineRule="auto"/>
        <w:pBdr>
          <w:bottom w:val="single" w:sz="8" w:space="1" w:color="0B7285"/>
        </w:pBdr>
      </w:pPr>
      <w:r>
        <w:rPr>
          <w:rFonts w:ascii="Calibri" w:hAnsi="Calibri"/>
          <w:b/>
          <w:color w:val="0B7285"/>
          <w:sz w:val="24"/>
        </w:rPr>
        <w:t>4) PROCÉDÉS D’ÉCRITURE ET ÉLÉMENTS THÉÂTRAUX</w:t>
      </w:r>
    </w:p>
    <w:tbl>
      <w:tblPr>
        <w:tblW w:type="auto" w:w="0"/>
        <w:jc w:val="center"/>
        <w:tblLayout w:type="fixed"/>
        <w:tblLook w:firstColumn="1" w:firstRow="1" w:lastColumn="0" w:lastRow="0" w:noHBand="0" w:noVBand="1" w:val="04A0"/>
      </w:tblPr>
      <w:tblGrid>
        <w:gridCol w:w="2494"/>
        <w:gridCol w:w="7030"/>
      </w:tblGrid>
      <w:tr>
        <w:tc>
          <w:tcPr>
            <w:tcW w:type="dxa" w:w="5213"/>
            <w:shd w:val="clear" w:color="auto" w:fill="E9EFF7"/>
            <w:tcBorders>
              <w:left w:sz="6" w:val="single" w:color="D6DEE8"/>
              <w:top w:sz="6" w:val="single" w:color="D6DEE8"/>
              <w:right w:sz="6" w:val="single" w:color="D6DEE8"/>
              <w:bottom w:sz="6" w:val="single" w:color="D6DEE8"/>
            </w:tcBorders>
          </w:tcPr>
          <w:p>
            <w:pPr>
              <w:spacing w:before="40" w:after="40" w:line="240" w:lineRule="auto"/>
            </w:pPr>
            <w:r/>
            <w:r>
              <w:rPr>
                <w:rFonts w:ascii="Calibri" w:hAnsi="Calibri"/>
                <w:b/>
                <w:color w:val="0F2D52"/>
                <w:sz w:val="20"/>
              </w:rPr>
              <w:t>Élément</w:t>
            </w:r>
          </w:p>
        </w:tc>
        <w:tc>
          <w:tcPr>
            <w:tcW w:type="dxa" w:w="5213"/>
            <w:shd w:val="clear" w:color="auto" w:fill="E9EFF7"/>
            <w:tcBorders>
              <w:left w:sz="6" w:val="single" w:color="D6DEE8"/>
              <w:top w:sz="6" w:val="single" w:color="D6DEE8"/>
              <w:right w:sz="6" w:val="single" w:color="D6DEE8"/>
              <w:bottom w:sz="6" w:val="single" w:color="D6DEE8"/>
            </w:tcBorders>
          </w:tcPr>
          <w:p>
            <w:pPr>
              <w:spacing w:before="40" w:after="40" w:line="240" w:lineRule="auto"/>
            </w:pPr>
            <w:r/>
            <w:r>
              <w:rPr>
                <w:rFonts w:ascii="Calibri" w:hAnsi="Calibri"/>
                <w:b/>
                <w:color w:val="0F2D52"/>
                <w:sz w:val="20"/>
              </w:rPr>
              <w:t>Ce que ça produit</w:t>
            </w:r>
          </w:p>
        </w:tc>
      </w:tr>
      <w:tr>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Espace scénique</w:t>
            </w:r>
          </w:p>
        </w:tc>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Un lieu unique (la chambre) : objets, robes, miroir - tout devient accessoire d’un rituel.</w:t>
            </w:r>
          </w:p>
        </w:tc>
      </w:tr>
      <w:tr>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Jeu de rôle</w:t>
            </w:r>
          </w:p>
        </w:tc>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Inversion des positions, imitation caricaturale, masques : le jeu révèle ce que le réel interdit.</w:t>
            </w:r>
          </w:p>
        </w:tc>
      </w:tr>
      <w:tr>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Langage</w:t>
            </w:r>
          </w:p>
        </w:tc>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Alternance de flatteries, ordres, insultes, prières : la parole fabrique la violence.</w:t>
            </w:r>
          </w:p>
        </w:tc>
      </w:tr>
      <w:tr>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Rythme</w:t>
            </w:r>
          </w:p>
        </w:tc>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Montée en tension par répétition et variations : la cérémonie s’emballe.</w:t>
            </w:r>
          </w:p>
        </w:tc>
      </w:tr>
      <w:tr>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Registre</w:t>
            </w:r>
          </w:p>
        </w:tc>
        <w:tc>
          <w:tcPr>
            <w:tcW w:type="dxa" w:w="5213"/>
            <w:vAlign w:val="top"/>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Mélange de tragique, de grotesque et de sacré (cérémoniel).</w:t>
            </w:r>
          </w:p>
        </w:tc>
      </w:tr>
    </w:tbl>
    <w:p/>
    <w:p>
      <w:pPr>
        <w:spacing w:before="200" w:after="120" w:line="240" w:lineRule="auto"/>
        <w:pBdr>
          <w:bottom w:val="single" w:sz="8" w:space="1" w:color="0B7285"/>
        </w:pBdr>
      </w:pPr>
      <w:r>
        <w:rPr>
          <w:rFonts w:ascii="Calibri" w:hAnsi="Calibri"/>
          <w:b/>
          <w:color w:val="0B7285"/>
          <w:sz w:val="24"/>
        </w:rPr>
        <w:t>5) AXES D’ANALYSE POUR UN COMMENTAIRE</w:t>
      </w:r>
    </w:p>
    <w:p>
      <w:pPr>
        <w:spacing w:before="0" w:after="0" w:line="264" w:lineRule="auto"/>
      </w:pPr>
      <w:r>
        <w:t>• Comment le théâtre dans le théâtre brouille-t-il la frontière entre jeu et réalité ?</w:t>
      </w:r>
    </w:p>
    <w:p>
      <w:pPr>
        <w:spacing w:before="0" w:after="0" w:line="264" w:lineRule="auto"/>
      </w:pPr>
      <w:r>
        <w:t>• En quoi Madame est-elle à la fois oppresseur, modèle et miroir des bonnes ?</w:t>
      </w:r>
    </w:p>
    <w:p>
      <w:pPr>
        <w:spacing w:before="0" w:after="0" w:line="264" w:lineRule="auto"/>
      </w:pPr>
      <w:r>
        <w:t>• Comment la parole remplace-t-elle l’action et fabrique-t-elle la violence ?</w:t>
      </w:r>
    </w:p>
    <w:p>
      <w:pPr>
        <w:spacing w:before="0" w:after="0" w:line="264" w:lineRule="auto"/>
      </w:pPr>
      <w:r>
        <w:t>• Pourquoi l’inversion des rôles ne libère-t-elle pas, mais enferme davantage ?</w:t>
      </w:r>
    </w:p>
    <w:p>
      <w:r>
        <w:br w:type="page"/>
      </w:r>
    </w:p>
    <w:p>
      <w:pPr>
        <w:spacing w:before="200" w:after="120" w:line="240" w:lineRule="auto"/>
        <w:pBdr>
          <w:bottom w:val="single" w:sz="8" w:space="1" w:color="0B7285"/>
        </w:pBdr>
      </w:pPr>
      <w:r>
        <w:rPr>
          <w:rFonts w:ascii="Calibri" w:hAnsi="Calibri"/>
          <w:b/>
          <w:color w:val="0B7285"/>
          <w:sz w:val="24"/>
        </w:rPr>
        <w:t>6) PLANS TYPES POUR UNE DISSERTATION / COMMENTAIRE COMPOSÉ</w:t>
      </w:r>
    </w:p>
    <w:p>
      <w:pPr>
        <w:spacing w:before="0" w:after="160" w:line="269" w:lineRule="auto"/>
      </w:pPr>
      <w:r>
        <w:t>Pour passer de la lecture à l’analyse, voici des plans clairs et adaptables, afin d’organiser l’argumentation et de mettre en valeur les enjeux majeurs de la pièce.</w:t>
      </w:r>
    </w:p>
    <w:p>
      <w:pPr>
        <w:spacing w:before="80" w:after="0" w:line="269" w:lineRule="auto"/>
      </w:pPr>
      <w:r>
        <w:rPr>
          <w:rFonts w:ascii="Calibri" w:hAnsi="Calibri"/>
          <w:b/>
          <w:color w:val="0B7285"/>
          <w:sz w:val="20"/>
        </w:rPr>
        <w:t>Plan A — Domination sociale et enfermement</w:t>
      </w:r>
    </w:p>
    <w:p>
      <w:pPr>
        <w:spacing w:before="0" w:after="0" w:line="264" w:lineRule="auto"/>
      </w:pPr>
      <w:r>
        <w:t>• La hiérarchie maîtresse/domestiques : humiliation et dépendance.</w:t>
      </w:r>
    </w:p>
    <w:p>
      <w:pPr>
        <w:spacing w:before="0" w:after="0" w:line="264" w:lineRule="auto"/>
      </w:pPr>
      <w:r>
        <w:t>• Le jeu de rôle comme faux renversement : domination intériorisée.</w:t>
      </w:r>
    </w:p>
    <w:p>
      <w:pPr>
        <w:spacing w:before="0" w:after="0" w:line="264" w:lineRule="auto"/>
      </w:pPr>
      <w:r>
        <w:t>• L’échec du passage à l’acte : la tragédie des masques.</w:t>
      </w:r>
    </w:p>
    <w:p>
      <w:pPr>
        <w:spacing w:before="80" w:after="0" w:line="269" w:lineRule="auto"/>
      </w:pPr>
      <w:r>
        <w:rPr>
          <w:rFonts w:ascii="Calibri" w:hAnsi="Calibri"/>
          <w:b/>
          <w:color w:val="0B7285"/>
          <w:sz w:val="20"/>
        </w:rPr>
        <w:t>Plan B — Théâtre dans le théâtre : le rituel</w:t>
      </w:r>
    </w:p>
    <w:p>
      <w:pPr>
        <w:spacing w:before="0" w:after="0" w:line="264" w:lineRule="auto"/>
      </w:pPr>
      <w:r>
        <w:t>• Mise en abyme : la chambre devient scène, la scène devient prison.</w:t>
      </w:r>
    </w:p>
    <w:p>
      <w:pPr>
        <w:spacing w:before="0" w:after="0" w:line="264" w:lineRule="auto"/>
      </w:pPr>
      <w:r>
        <w:t>• Parole performative : dire, c’est agir (menacer, ordonner, humilier).</w:t>
      </w:r>
    </w:p>
    <w:p>
      <w:pPr>
        <w:spacing w:before="0" w:after="0" w:line="264" w:lineRule="auto"/>
      </w:pPr>
      <w:r>
        <w:t>• Vertige final : quand la représentation déborde le réel.</w:t>
      </w:r>
    </w:p>
    <w:p>
      <w:pPr>
        <w:spacing w:before="80" w:after="0" w:line="269" w:lineRule="auto"/>
      </w:pPr>
      <w:r>
        <w:rPr>
          <w:rFonts w:ascii="Calibri" w:hAnsi="Calibri"/>
          <w:b/>
          <w:color w:val="0B7285"/>
          <w:sz w:val="20"/>
        </w:rPr>
        <w:t>Plan C — Haine et fascination : désir du pouvoir</w:t>
      </w:r>
    </w:p>
    <w:p>
      <w:pPr>
        <w:spacing w:before="0" w:after="0" w:line="264" w:lineRule="auto"/>
      </w:pPr>
      <w:r>
        <w:t>• Madame comme idole/ennemie : attraction et rejet.</w:t>
      </w:r>
    </w:p>
    <w:p>
      <w:pPr>
        <w:spacing w:before="0" w:after="0" w:line="264" w:lineRule="auto"/>
      </w:pPr>
      <w:r>
        <w:t>• Claire/Solange : doubles, rivalités, dépendance affective.</w:t>
      </w:r>
    </w:p>
    <w:p>
      <w:pPr>
        <w:spacing w:before="0" w:after="0" w:line="264" w:lineRule="auto"/>
      </w:pPr>
      <w:r>
        <w:t>• La violence comme langage d’une émancipation impossible.</w:t>
      </w:r>
    </w:p>
    <w:p/>
    <w:tbl>
      <w:tblPr>
        <w:tblW w:type="auto" w:w="0"/>
        <w:jc w:val="center"/>
        <w:tblLayout w:type="fixed"/>
        <w:tblLook w:firstColumn="1" w:firstRow="1" w:lastColumn="0" w:lastRow="0" w:noHBand="0" w:noVBand="1" w:val="04A0"/>
      </w:tblPr>
      <w:tblGrid>
        <w:gridCol w:w="2494"/>
        <w:gridCol w:w="7030"/>
      </w:tblGrid>
      <w:tr>
        <w:tc>
          <w:tcPr>
            <w:tcW w:type="dxa" w:w="10426"/>
            <w:gridSpan w:val="2"/>
            <w:shd w:val="clear" w:color="auto" w:fill="E9EFF7"/>
            <w:tcBorders>
              <w:left w:sz="6" w:val="single" w:color="D6DEE8"/>
              <w:top w:sz="6" w:val="single" w:color="D6DEE8"/>
              <w:right w:sz="6" w:val="single" w:color="D6DEE8"/>
              <w:bottom w:sz="6" w:val="single" w:color="D6DEE8"/>
            </w:tcBorders>
          </w:tcPr>
          <w:p>
            <w:pPr>
              <w:spacing w:before="40" w:after="40" w:line="240" w:lineRule="auto"/>
            </w:pPr>
            <w:r/>
            <w:r>
              <w:rPr>
                <w:rFonts w:ascii="Calibri" w:hAnsi="Calibri"/>
                <w:b/>
                <w:color w:val="0F2D52"/>
                <w:sz w:val="20"/>
              </w:rPr>
              <w:t>Méthode express pour une introduction (dissertation/commentaire)</w:t>
            </w:r>
          </w:p>
        </w:tc>
      </w:tr>
      <w:tr>
        <w:tc>
          <w:tcPr>
            <w:tcW w:type="dxa" w:w="5213"/>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Accroche</w:t>
            </w:r>
          </w:p>
        </w:tc>
        <w:tc>
          <w:tcPr>
            <w:tcW w:type="dxa" w:w="5213"/>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1 phrase liée au thème (domination, masque, rituel) + lien avec le théâtre.</w:t>
            </w:r>
          </w:p>
        </w:tc>
      </w:tr>
      <w:tr>
        <w:tc>
          <w:tcPr>
            <w:tcW w:type="dxa" w:w="5213"/>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Présentation</w:t>
            </w:r>
          </w:p>
        </w:tc>
        <w:tc>
          <w:tcPr>
            <w:tcW w:type="dxa" w:w="5213"/>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Titre, auteur, genre, date, situation générale (huis clos, 3 personnages).</w:t>
            </w:r>
          </w:p>
        </w:tc>
      </w:tr>
      <w:tr>
        <w:tc>
          <w:tcPr>
            <w:tcW w:type="dxa" w:w="5213"/>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Problématique</w:t>
            </w:r>
          </w:p>
        </w:tc>
        <w:tc>
          <w:tcPr>
            <w:tcW w:type="dxa" w:w="5213"/>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Question qui relie jeu/identité/pouvoir : « Comment le rituel théâtral révèle-t-il… ? »</w:t>
            </w:r>
          </w:p>
        </w:tc>
      </w:tr>
      <w:tr>
        <w:tc>
          <w:tcPr>
            <w:tcW w:type="dxa" w:w="5213"/>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color w:val="0F2D52"/>
                <w:sz w:val="20"/>
              </w:rPr>
              <w:t>Annonce du plan</w:t>
            </w:r>
          </w:p>
        </w:tc>
        <w:tc>
          <w:tcPr>
            <w:tcW w:type="dxa" w:w="5213"/>
            <w:tcBorders>
              <w:left w:sz="6" w:val="single" w:color="D6DEE8"/>
              <w:top w:sz="6" w:val="single" w:color="D6DEE8"/>
              <w:right w:sz="6" w:val="single" w:color="D6DEE8"/>
              <w:bottom w:sz="6" w:val="single" w:color="D6DEE8"/>
            </w:tcBorders>
          </w:tcPr>
          <w:p>
            <w:pPr>
              <w:spacing w:before="20" w:after="20" w:line="259" w:lineRule="auto"/>
            </w:pPr>
            <w:r/>
            <w:r>
              <w:rPr>
                <w:rFonts w:ascii="Calibri" w:hAnsi="Calibri"/>
                <w:b w:val="0"/>
                <w:color w:val="333333"/>
                <w:sz w:val="20"/>
              </w:rPr>
              <w:t>Annonce claire en 2 ou 3 parties (sans entrer dans le détail).</w:t>
            </w:r>
          </w:p>
        </w:tc>
      </w:tr>
    </w:tbl>
    <w:p>
      <w:r>
        <w:br w:type="page"/>
      </w:r>
    </w:p>
    <w:p>
      <w:pPr>
        <w:spacing w:before="0" w:after="200" w:line="240" w:lineRule="auto"/>
        <w:jc w:val="center"/>
      </w:pPr>
      <w:r>
        <w:rPr>
          <w:rFonts w:ascii="Calibri" w:hAnsi="Calibri"/>
          <w:b/>
          <w:color w:val="0F2D52"/>
          <w:sz w:val="28"/>
        </w:rPr>
        <w:t>ESPACES DE RÉVISION (À REMPLIR)</w:t>
      </w:r>
    </w:p>
    <w:tbl>
      <w:tblPr>
        <w:tblW w:type="auto" w:w="0"/>
        <w:jc w:val="center"/>
        <w:tblLayout w:type="fixed"/>
        <w:tblLook w:firstColumn="1" w:firstRow="1" w:lastColumn="0" w:lastRow="0" w:noHBand="0" w:noVBand="1" w:val="04A0"/>
      </w:tblPr>
      <w:tblGrid>
        <w:gridCol w:w="9524"/>
      </w:tblGrid>
      <w:tr>
        <w:tc>
          <w:tcPr>
            <w:tcW w:type="dxa" w:w="10426"/>
            <w:shd w:val="clear" w:color="auto" w:fill="E9EFF7"/>
            <w:tcBorders>
              <w:left w:sz="6" w:val="single" w:color="D6DEE8"/>
              <w:top w:sz="6" w:val="single" w:color="D6DEE8"/>
              <w:right w:sz="6" w:val="single" w:color="D6DEE8"/>
              <w:bottom w:sz="6" w:val="single" w:color="D6DEE8"/>
            </w:tcBorders>
          </w:tcPr>
          <w:p>
            <w:pPr>
              <w:spacing w:before="40" w:after="40" w:line="240" w:lineRule="auto"/>
            </w:pPr>
            <w:r/>
            <w:r>
              <w:rPr>
                <w:rFonts w:ascii="Calibri" w:hAnsi="Calibri"/>
                <w:b/>
                <w:color w:val="0F2D52"/>
                <w:sz w:val="20"/>
              </w:rPr>
              <w:t>CITATIONS À RETENIR (avec page/acte/repère)</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bl>
    <w:p/>
    <w:tbl>
      <w:tblPr>
        <w:tblW w:type="auto" w:w="0"/>
        <w:jc w:val="center"/>
        <w:tblLayout w:type="fixed"/>
        <w:tblLook w:firstColumn="1" w:firstRow="1" w:lastColumn="0" w:lastRow="0" w:noHBand="0" w:noVBand="1" w:val="04A0"/>
      </w:tblPr>
      <w:tblGrid>
        <w:gridCol w:w="9524"/>
      </w:tblGrid>
      <w:tr>
        <w:tc>
          <w:tcPr>
            <w:tcW w:type="dxa" w:w="10426"/>
            <w:shd w:val="clear" w:color="auto" w:fill="E9EFF7"/>
            <w:tcBorders>
              <w:left w:sz="6" w:val="single" w:color="D6DEE8"/>
              <w:top w:sz="6" w:val="single" w:color="D6DEE8"/>
              <w:right w:sz="6" w:val="single" w:color="D6DEE8"/>
              <w:bottom w:sz="6" w:val="single" w:color="D6DEE8"/>
            </w:tcBorders>
          </w:tcPr>
          <w:p>
            <w:pPr>
              <w:spacing w:before="40" w:after="40" w:line="240" w:lineRule="auto"/>
            </w:pPr>
            <w:r/>
            <w:r>
              <w:rPr>
                <w:rFonts w:ascii="Calibri" w:hAnsi="Calibri"/>
                <w:b/>
                <w:color w:val="0F2D52"/>
                <w:sz w:val="20"/>
              </w:rPr>
              <w:t>SCÈNES CLÉS (ce qui se passe + pourquoi c’est important)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bl>
    <w:p/>
    <w:tbl>
      <w:tblPr>
        <w:tblW w:type="auto" w:w="0"/>
        <w:jc w:val="center"/>
        <w:tblLayout w:type="fixed"/>
        <w:tblLook w:firstColumn="1" w:firstRow="1" w:lastColumn="0" w:lastRow="0" w:noHBand="0" w:noVBand="1" w:val="04A0"/>
      </w:tblPr>
      <w:tblGrid>
        <w:gridCol w:w="9524"/>
      </w:tblGrid>
      <w:tr>
        <w:tc>
          <w:tcPr>
            <w:tcW w:type="dxa" w:w="10426"/>
            <w:shd w:val="clear" w:color="auto" w:fill="E9EFF7"/>
            <w:tcBorders>
              <w:left w:sz="6" w:val="single" w:color="D6DEE8"/>
              <w:top w:sz="6" w:val="single" w:color="D6DEE8"/>
              <w:right w:sz="6" w:val="single" w:color="D6DEE8"/>
              <w:bottom w:sz="6" w:val="single" w:color="D6DEE8"/>
            </w:tcBorders>
          </w:tcPr>
          <w:p>
            <w:pPr>
              <w:spacing w:before="40" w:after="40" w:line="240" w:lineRule="auto"/>
            </w:pPr>
            <w:r/>
            <w:r>
              <w:rPr>
                <w:rFonts w:ascii="Calibri" w:hAnsi="Calibri"/>
                <w:b/>
                <w:color w:val="0F2D52"/>
                <w:sz w:val="20"/>
              </w:rPr>
              <w:t>CE QUE JE RETIENS (idée forte + preuve + exemple)</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bl>
    <w:p/>
    <w:tbl>
      <w:tblPr>
        <w:tblW w:type="auto" w:w="0"/>
        <w:jc w:val="center"/>
        <w:tblLayout w:type="fixed"/>
        <w:tblLook w:firstColumn="1" w:firstRow="1" w:lastColumn="0" w:lastRow="0" w:noHBand="0" w:noVBand="1" w:val="04A0"/>
      </w:tblPr>
      <w:tblGrid>
        <w:gridCol w:w="9524"/>
      </w:tblGrid>
      <w:tr>
        <w:tc>
          <w:tcPr>
            <w:tcW w:type="dxa" w:w="10426"/>
            <w:shd w:val="clear" w:color="auto" w:fill="E9EFF7"/>
            <w:tcBorders>
              <w:left w:sz="6" w:val="single" w:color="D6DEE8"/>
              <w:top w:sz="6" w:val="single" w:color="D6DEE8"/>
              <w:right w:sz="6" w:val="single" w:color="D6DEE8"/>
              <w:bottom w:sz="6" w:val="single" w:color="D6DEE8"/>
            </w:tcBorders>
          </w:tcPr>
          <w:p>
            <w:pPr>
              <w:spacing w:before="40" w:after="40" w:line="240" w:lineRule="auto"/>
            </w:pPr>
            <w:r/>
            <w:r>
              <w:rPr>
                <w:rFonts w:ascii="Calibri" w:hAnsi="Calibri"/>
                <w:b/>
                <w:color w:val="0F2D52"/>
                <w:sz w:val="20"/>
              </w:rPr>
              <w:t>MON AVIS DE LECTURE (ressenti, style, difficulté, intérêt)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r>
        <w:tc>
          <w:tcPr>
            <w:tcW w:type="dxa" w:w="10426"/>
            <w:tcBorders>
              <w:left w:sz="6" w:val="single" w:color="D6DEE8"/>
              <w:top w:sz="6" w:val="single" w:color="D6DEE8"/>
              <w:right w:sz="6" w:val="single" w:color="D6DEE8"/>
              <w:bottom w:sz="6" w:val="single" w:color="D6DEE8"/>
            </w:tcBorders>
          </w:tcPr>
          <w:p>
            <w:pPr>
              <w:spacing w:before="20" w:after="20" w:line="240" w:lineRule="auto"/>
            </w:pPr>
            <w:r>
              <w:rPr>
                <w:color w:val="969696"/>
                <w:sz w:val="20"/>
              </w:rPr>
              <w:t>................................................................................................................</w:t>
            </w:r>
          </w:p>
        </w:tc>
      </w:tr>
    </w:tbl>
    <w:p/>
    <w:p>
      <w:pPr>
        <w:spacing w:before="200" w:after="120" w:line="240" w:lineRule="auto"/>
        <w:pBdr>
          <w:bottom w:val="single" w:sz="8" w:space="1" w:color="0B7285"/>
        </w:pBdr>
      </w:pPr>
      <w:r>
        <w:rPr>
          <w:rFonts w:ascii="Calibri" w:hAnsi="Calibri"/>
          <w:b/>
          <w:color w:val="0B7285"/>
          <w:sz w:val="24"/>
        </w:rPr>
        <w:t>MINI-CHECKLIST AVANT UN DEVOIR</w:t>
      </w:r>
    </w:p>
    <w:p>
      <w:pPr>
        <w:spacing w:before="0" w:after="0" w:line="269" w:lineRule="auto"/>
      </w:pPr>
      <w:r>
        <w:t>□ J’ai un résumé (court + détaillé) et je connais l’enchaînement des scènes.</w:t>
      </w:r>
    </w:p>
    <w:p>
      <w:pPr>
        <w:spacing w:before="0" w:after="0" w:line="269" w:lineRule="auto"/>
      </w:pPr>
      <w:r>
        <w:t>□ Je sais présenter les personnages et leurs rapports (dominant/dominé, double, rivalité).</w:t>
      </w:r>
    </w:p>
    <w:p>
      <w:pPr>
        <w:spacing w:before="0" w:after="0" w:line="269" w:lineRule="auto"/>
      </w:pPr>
      <w:r>
        <w:t>□ Je peux expliquer le théâtre dans le théâtre et l’idée de rituel.</w:t>
      </w:r>
    </w:p>
    <w:p>
      <w:pPr>
        <w:spacing w:before="0" w:after="0" w:line="269" w:lineRule="auto"/>
      </w:pPr>
      <w:r>
        <w:t>□ Je connais au moins 2 axes d’analyse et 1 plan complet.</w:t>
      </w:r>
    </w:p>
    <w:p>
      <w:pPr>
        <w:spacing w:before="0" w:after="0" w:line="269" w:lineRule="auto"/>
      </w:pPr>
      <w:r>
        <w:t>□ J’ai sélectionné 2 à 4 citations courtes et je sais les commenter.</w:t>
      </w:r>
    </w:p>
    <w:sectPr w:rsidR="00FC693F" w:rsidRPr="0006063C" w:rsidSect="00034616">
      <w:footerReference w:type="default" r:id="rId9"/>
      <w:pgSz w:w="12240" w:h="15840"/>
      <w:pgMar w:top="907" w:right="907" w:bottom="907" w:left="90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76" w:lineRule="auto"/>
    </w:pPr>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