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0B2E4A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30"/>
              </w:rPr>
              <w:t>LES 5 STYLES DE GESTION DES CONFLITS</w:t>
            </w:r>
          </w:p>
          <w:p>
            <w:pPr>
              <w:jc w:val="left"/>
            </w:pPr>
            <w:r>
              <w:rPr>
                <w:rFonts w:ascii="Calibri" w:hAnsi="Calibri"/>
                <w:b w:val="0"/>
                <w:color w:val="D9E7F2"/>
                <w:sz w:val="20"/>
              </w:rPr>
              <w:t>Repère Thomas-Kilmann : assertivité × coopération (fiche synthèse).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6463"/>
        <w:gridCol w:w="4309"/>
      </w:tblGrid>
      <w:tr>
        <w:tc>
          <w:tcPr>
            <w:tcW w:type="dxa" w:w="538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pPr>
              <w:jc w:val="left"/>
            </w:pPr>
            <w:r>
              <w:rPr>
                <w:rFonts w:ascii="Calibri" w:hAnsi="Calibri"/>
                <w:b/>
                <w:color w:val="0B2E4A"/>
                <w:sz w:val="22"/>
              </w:rPr>
              <w:t>Repère rapide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01"/>
              <w:gridCol w:w="2268"/>
              <w:gridCol w:w="2268"/>
            </w:tblGrid>
            <w:tr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0B2E4A"/>
                      <w:sz w:val="17"/>
                    </w:rPr>
                  </w:r>
                </w:p>
              </w:tc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EAF2F8"/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0B2E4A"/>
                      <w:sz w:val="17"/>
                    </w:rPr>
                    <w:t>Coop. -</w:t>
                  </w:r>
                </w:p>
              </w:tc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EAF2F8"/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0B2E4A"/>
                      <w:sz w:val="17"/>
                    </w:rPr>
                    <w:t>Coop. +</w:t>
                  </w:r>
                </w:p>
              </w:tc>
            </w:tr>
            <w:tr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EAF2F8"/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0B2E4A"/>
                      <w:sz w:val="17"/>
                    </w:rPr>
                    <w:t>Ass. +</w:t>
                  </w:r>
                </w:p>
              </w:tc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FDEBD0"/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rFonts w:ascii="Calibri" w:hAnsi="Calibri"/>
                      <w:b/>
                      <w:color w:val="1F1F1F"/>
                      <w:sz w:val="17"/>
                    </w:rPr>
                    <w:t>Compétition</w:t>
                  </w:r>
                </w:p>
              </w:tc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D5F5E3"/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rFonts w:ascii="Calibri" w:hAnsi="Calibri"/>
                      <w:b/>
                      <w:color w:val="1F1F1F"/>
                      <w:sz w:val="17"/>
                    </w:rPr>
                    <w:t>Collaboration</w:t>
                  </w:r>
                </w:p>
              </w:tc>
            </w:tr>
            <w:tr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EAF2F8"/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0B2E4A"/>
                      <w:sz w:val="17"/>
                    </w:rPr>
                    <w:t>Ass. -</w:t>
                  </w:r>
                </w:p>
              </w:tc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EBDEF0"/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rFonts w:ascii="Calibri" w:hAnsi="Calibri"/>
                      <w:b/>
                      <w:color w:val="1F1F1F"/>
                      <w:sz w:val="17"/>
                    </w:rPr>
                    <w:t>Évitement</w:t>
                  </w:r>
                </w:p>
              </w:tc>
              <w:tc>
                <w:tcPr>
                  <w:tcW w:type="dxa" w:w="1795"/>
                  <w:tcMar>
                    <w:top w:w="70" w:type="dxa"/>
                    <w:start w:w="90" w:type="dxa"/>
                    <w:bottom w:w="70" w:type="dxa"/>
                    <w:end w:w="90" w:type="dxa"/>
                  </w:tcMar>
                  <w:vAlign w:val="center"/>
                  <w:shd w:val="clear" w:color="auto" w:fill="FADBD8"/>
                </w:tcPr>
                <w:p>
                  <w:pPr>
                    <w:spacing w:before="0" w:after="0"/>
                    <w:jc w:val="center"/>
                  </w:pPr>
                  <w:r>
                    <w:rPr>
                      <w:rFonts w:ascii="Calibri" w:hAnsi="Calibri"/>
                      <w:b/>
                      <w:color w:val="1F1F1F"/>
                      <w:sz w:val="17"/>
                    </w:rPr>
                    <w:t>Accommodation</w:t>
                  </w:r>
                </w:p>
              </w:tc>
            </w:tr>
          </w:tbl>
          <w:p/>
          <w:p>
            <w:pPr>
              <w:spacing w:before="80" w:after="0"/>
            </w:pPr>
            <w:r>
              <w:rPr>
                <w:rFonts w:ascii="Calibri" w:hAnsi="Calibri"/>
                <w:b/>
                <w:color w:val="0B2E4A"/>
                <w:sz w:val="17"/>
              </w:rPr>
              <w:t>Compromis : position intermédiaire (négocier un accord acceptable).</w:t>
            </w:r>
          </w:p>
        </w:tc>
        <w:tc>
          <w:tcPr>
            <w:tcW w:type="dxa" w:w="5386"/>
            <w:tcMar>
              <w:top w:w="80" w:type="dxa"/>
              <w:start w:w="120" w:type="dxa"/>
              <w:bottom w:w="80" w:type="dxa"/>
              <w:end w:w="120" w:type="dxa"/>
            </w:tcMar>
            <w:vAlign w:val="top"/>
          </w:tcPr>
          <w:p>
            <w:pPr>
              <w:jc w:val="left"/>
            </w:pPr>
            <w:r>
              <w:rPr>
                <w:rFonts w:ascii="Calibri" w:hAnsi="Calibri"/>
                <w:b/>
                <w:color w:val="0B2E4A"/>
                <w:sz w:val="22"/>
              </w:rPr>
              <w:t>Mémo de décision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color w:val="1F1F1F"/>
                <w:sz w:val="18"/>
              </w:rPr>
              <w:t>• Enjeu critique ? → posture plus assertive.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color w:val="1F1F1F"/>
                <w:sz w:val="18"/>
              </w:rPr>
              <w:t>• Relation à préserver ? → posture plus coopérative.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color w:val="1F1F1F"/>
                <w:sz w:val="18"/>
              </w:rPr>
              <w:t>• Temps court ? → compromis ou compétition (avec cadre).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color w:val="1F1F1F"/>
                <w:sz w:val="18"/>
              </w:rPr>
              <w:t>• Temps long / causes ? → collaboration.</w:t>
            </w:r>
          </w:p>
        </w:tc>
      </w:tr>
    </w:tbl>
    <w:p/>
    <w:p>
      <w:r>
        <w:rPr>
          <w:rFonts w:ascii="Calibri" w:hAnsi="Calibri"/>
          <w:b/>
          <w:color w:val="0B2E4A"/>
          <w:sz w:val="23"/>
        </w:rPr>
        <w:t>Les styles (objectif, quand, vigilance)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329"/>
        <w:gridCol w:w="5329"/>
      </w:tblGrid>
      <w:tr>
        <w:tc>
          <w:tcPr>
            <w:tcW w:type="dxa" w:w="5386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E67E22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FFFFFF"/>
                      <w:sz w:val="20"/>
                    </w:rPr>
                    <w:t>COMPÉTITION</w:t>
                  </w:r>
                </w:p>
              </w:tc>
            </w:tr>
          </w:tbl>
          <w:p/>
          <w:p>
            <w:pPr>
              <w:spacing w:before="6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Objectif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Décider vite / protéger un non-négociable.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Quand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 xml:space="preserve"> • urgence, crise • règles, sécurité, conformité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Vigilance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Risque de braquer : dire le pourquoi + le cadre.</w:t>
            </w:r>
          </w:p>
        </w:tc>
        <w:tc>
          <w:tcPr>
            <w:tcW w:type="dxa" w:w="5386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27AE60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FFFFFF"/>
                      <w:sz w:val="20"/>
                    </w:rPr>
                    <w:t>COLLABORATION</w:t>
                  </w:r>
                </w:p>
              </w:tc>
            </w:tr>
          </w:tbl>
          <w:p/>
          <w:p>
            <w:pPr>
              <w:spacing w:before="6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Objectif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Construire un gagnant-gagnant (causes).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Quand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 xml:space="preserve"> • enjeu + relation importants • problème complexe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Vigilance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Plus long : clarifier critères, options, décision.</w:t>
            </w:r>
          </w:p>
        </w:tc>
      </w:tr>
      <w:tr>
        <w:tc>
          <w:tcPr>
            <w:tcW w:type="dxa" w:w="5386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2980B9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FFFFFF"/>
                      <w:sz w:val="20"/>
                    </w:rPr>
                    <w:t>COMPROMIS</w:t>
                  </w:r>
                </w:p>
              </w:tc>
            </w:tr>
          </w:tbl>
          <w:p/>
          <w:p>
            <w:pPr>
              <w:spacing w:before="6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Objectif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Accord équilibré quand chacun lâche un peu.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Quand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 xml:space="preserve"> • temps limité • enjeux comparables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Vigilance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Accord écrit + suivi (éviter le flou).</w:t>
            </w:r>
          </w:p>
        </w:tc>
        <w:tc>
          <w:tcPr>
            <w:tcW w:type="dxa" w:w="5386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C0392B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FFFFFF"/>
                      <w:sz w:val="20"/>
                    </w:rPr>
                    <w:t>ACCOMMODATION</w:t>
                  </w:r>
                </w:p>
              </w:tc>
            </w:tr>
          </w:tbl>
          <w:p/>
          <w:p>
            <w:pPr>
              <w:spacing w:before="6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Objectif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Préserver la relation si l’enjeu est secondaire.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Quand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 xml:space="preserve"> • l’autre a beaucoup à perdre • restaurer la confiance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Vigilance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Ne pas sacrifier vos limites : annoncer ce que vous donnez.</w:t>
            </w:r>
          </w:p>
        </w:tc>
      </w:tr>
      <w:tr>
        <w:tc>
          <w:tcPr>
            <w:tcW w:type="dxa" w:w="5386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5386"/>
            </w:tblGrid>
            <w:tr>
              <w:tc>
                <w:tcPr>
                  <w:tcW w:type="dxa" w:w="5386"/>
                  <w:shd w:val="clear" w:color="auto" w:fill="8E44AD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pPr>
                    <w:spacing w:before="0" w:after="0"/>
                    <w:jc w:val="left"/>
                  </w:pPr>
                  <w:r>
                    <w:rPr>
                      <w:rFonts w:ascii="Calibri" w:hAnsi="Calibri"/>
                      <w:b/>
                      <w:color w:val="FFFFFF"/>
                      <w:sz w:val="20"/>
                    </w:rPr>
                    <w:t>ÉVITEMENT</w:t>
                  </w:r>
                </w:p>
              </w:tc>
            </w:tr>
          </w:tbl>
          <w:p/>
          <w:p>
            <w:pPr>
              <w:spacing w:before="6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Objectif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Différer pour baisser la tension / gagner du recul.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Quand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 xml:space="preserve"> • émotions trop fortes • infos manquantes</w:t>
            </w:r>
          </w:p>
          <w:p>
            <w:pPr>
              <w:spacing w:before="2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 xml:space="preserve">Vigilance : </w:t>
            </w:r>
            <w:r>
              <w:rPr>
                <w:rFonts w:ascii="Calibri" w:hAnsi="Calibri"/>
                <w:b w:val="0"/>
                <w:color w:val="1F1F1F"/>
                <w:sz w:val="18"/>
              </w:rPr>
              <w:t>Fixer une reprise : date, canal, prochaines étapes.</w:t>
            </w:r>
          </w:p>
        </w:tc>
        <w:tc>
          <w:tcPr>
            <w:tcW w:type="dxa" w:w="5386"/>
            <w:tcMar>
              <w:top w:w="70" w:type="dxa"/>
              <w:start w:w="90" w:type="dxa"/>
              <w:bottom w:w="70" w:type="dxa"/>
              <w:end w:w="90" w:type="dxa"/>
            </w:tcMar>
            <w:vAlign w:val="top"/>
          </w:tcPr>
          <w:p>
            <w:r/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5216"/>
            </w:tblGrid>
            <w:tr>
              <w:tc>
                <w:tcPr>
                  <w:tcW w:type="dxa" w:w="5386"/>
                  <w:shd w:val="clear" w:color="auto" w:fill="34495E"/>
                  <w:tcMar>
                    <w:top w:w="70" w:type="dxa"/>
                    <w:start w:w="120" w:type="dxa"/>
                    <w:bottom w:w="70" w:type="dxa"/>
                    <w:end w:w="120" w:type="dxa"/>
                  </w:tcMar>
                </w:tcPr>
                <w:p>
                  <w:pPr>
                    <w:spacing w:before="0" w:after="0"/>
                  </w:pPr>
                  <w:r>
                    <w:rPr>
                      <w:rFonts w:ascii="Calibri" w:hAnsi="Calibri"/>
                      <w:b/>
                      <w:color w:val="FFFFFF"/>
                      <w:sz w:val="20"/>
                    </w:rPr>
                    <w:t>MINI-CHECK (3 QUESTIONS)</w:t>
                  </w:r>
                </w:p>
              </w:tc>
            </w:tr>
          </w:tbl>
          <w:p/>
          <w:p>
            <w:pPr>
              <w:spacing w:before="0" w:after="0"/>
            </w:pPr>
            <w:r>
              <w:rPr>
                <w:rFonts w:ascii="Calibri" w:hAnsi="Calibri"/>
                <w:b w:val="0"/>
                <w:color w:val="1F1F1F"/>
                <w:sz w:val="18"/>
              </w:rPr>
              <w:t>• Enjeu critique ou secondaire ?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color w:val="1F1F1F"/>
                <w:sz w:val="18"/>
              </w:rPr>
              <w:t>• Relation à préserver à long terme ?</w:t>
            </w:r>
          </w:p>
          <w:p>
            <w:pPr>
              <w:spacing w:before="0" w:after="0"/>
            </w:pPr>
            <w:r>
              <w:rPr>
                <w:rFonts w:ascii="Calibri" w:hAnsi="Calibri"/>
                <w:b w:val="0"/>
                <w:color w:val="1F1F1F"/>
                <w:sz w:val="18"/>
              </w:rPr>
              <w:t>• Temps / infos suffisants, ou décision rapide ?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F2F4F7"/>
            <w:tcMar>
              <w:top w:w="70" w:type="dxa"/>
              <w:start w:w="160" w:type="dxa"/>
              <w:bottom w:w="70" w:type="dxa"/>
              <w:end w:w="160" w:type="dxa"/>
            </w:tcMar>
          </w:tcPr>
          <w:p>
            <w:pPr>
              <w:spacing w:before="0" w:after="0"/>
            </w:pPr>
            <w:r>
              <w:rPr>
                <w:rFonts w:ascii="Calibri" w:hAnsi="Calibri"/>
                <w:b/>
                <w:color w:val="0B2E4A"/>
                <w:sz w:val="18"/>
              </w:rPr>
              <w:t>lecoursgratuit.com  |  Management &amp; RH — Fiche synthèse</w:t>
            </w:r>
          </w:p>
        </w:tc>
      </w:tr>
    </w:tbl>
    <w:sectPr w:rsidR="00FC693F" w:rsidRPr="0006063C" w:rsidSect="00034616">
      <w:pgSz w:w="11906" w:h="16838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