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9866"/>
      </w:tblGrid>
      <w:tr>
        <w:tc>
          <w:tcPr>
            <w:tcW w:type="dxa" w:w="9866"/>
            <w:shd w:val="clear" w:color="auto" w:fill="1F4E79"/>
            <w:vAlign w:val="center"/>
            <w:tcBorders>
              <w:top w:val="nil"/>
              <w:left w:val="nil"/>
              <w:bottom w:val="nil"/>
              <w:right w:val="nil"/>
            </w:tcBorders>
          </w:tcPr>
          <w:p>
            <w:pPr>
              <w:jc w:val="center"/>
            </w:pPr>
            <w:r>
              <w:rPr>
                <w:b/>
                <w:color w:val="FFFFFF"/>
                <w:sz w:val="40"/>
              </w:rPr>
              <w:t>Exemples rédigés — Lettre d’intention d’achat d’entreprise (LOI)</w:t>
            </w:r>
          </w:p>
          <w:p>
            <w:pPr>
              <w:jc w:val="center"/>
            </w:pPr>
            <w:r>
              <w:rPr>
                <w:color w:val="E6F0FF"/>
                <w:sz w:val="22"/>
              </w:rPr>
              <w:t>3 scénarios : acquisition de titres, acquisition partielle avec exclusivité, rachat d’actifs / fonds de commerce</w:t>
            </w:r>
          </w:p>
        </w:tc>
      </w:tr>
    </w:tbl>
    <w:p/>
    <w:p>
      <w:pPr>
        <w:pStyle w:val="TexteLOI"/>
        <w:spacing w:after="120"/>
      </w:pPr>
      <w:r>
        <w:t>Ces exemples sont fournis à titre de modèle. Ils peuvent contenir des clauses partiellement engageantes (confidentialité, exclusivité, frais). Pour une opération réelle, faites relire par un professionnel du droit.</w:t>
      </w:r>
    </w:p>
    <w:tbl>
      <w:tblPr>
        <w:tblW w:type="auto" w:w="0"/>
        <w:jc w:val="center"/>
        <w:tblLook w:firstColumn="1" w:firstRow="1" w:lastColumn="0" w:lastRow="0" w:noHBand="0" w:noVBand="1" w:val="04A0"/>
      </w:tblPr>
      <w:tblGrid>
        <w:gridCol w:w="9866"/>
      </w:tblGrid>
      <w:tr>
        <w:tc>
          <w:tcPr>
            <w:tcW w:type="dxa" w:w="9866"/>
            <w:shd w:val="clear" w:color="auto" w:fill="EAF2F8"/>
            <w:tcBorders>
              <w:top w:sz="8" w:val="single" w:color="B7C9DA"/>
              <w:left w:sz="8" w:val="single" w:color="B7C9DA"/>
              <w:bottom w:sz="8" w:val="single" w:color="B7C9DA"/>
              <w:right w:sz="8" w:val="single" w:color="B7C9DA"/>
            </w:tcBorders>
          </w:tcPr>
          <w:p>
            <w:r>
              <w:rPr>
                <w:b/>
                <w:color w:val="1F4E79"/>
                <w:sz w:val="22"/>
              </w:rPr>
              <w:t>Comment utiliser ces modèles (en pratique)</w:t>
            </w:r>
          </w:p>
        </w:tc>
      </w:tr>
      <w:tr>
        <w:tc>
          <w:tcPr>
            <w:tcW w:type="dxa" w:w="9866"/>
            <w:shd w:val="clear" w:color="auto" w:fill="FFFFFF"/>
            <w:tcBorders>
              <w:left w:sz="8" w:val="single" w:color="B7C9DA"/>
              <w:bottom w:sz="4" w:val="single" w:color="E1E8EF"/>
              <w:right w:sz="8" w:val="single" w:color="B7C9DA"/>
            </w:tcBorders>
          </w:tcPr>
          <w:p>
            <w:r>
              <w:rPr>
                <w:sz w:val="20"/>
              </w:rPr>
              <w:t>1) Remplacez les informations entre crochets si vous adaptez le texte (adresse, RCS, montants, dates).</w:t>
            </w:r>
          </w:p>
        </w:tc>
      </w:tr>
      <w:tr>
        <w:tc>
          <w:tcPr>
            <w:tcW w:type="dxa" w:w="9866"/>
            <w:shd w:val="clear" w:color="auto" w:fill="FFFFFF"/>
            <w:tcBorders>
              <w:left w:sz="8" w:val="single" w:color="B7C9DA"/>
              <w:bottom w:sz="4" w:val="single" w:color="E1E8EF"/>
              <w:right w:sz="8" w:val="single" w:color="B7C9DA"/>
            </w:tcBorders>
          </w:tcPr>
          <w:p>
            <w:r>
              <w:rPr>
                <w:sz w:val="20"/>
              </w:rPr>
              <w:t>2) Ajustez le périmètre : titres (actions/parts) ou actifs (fonds de commerce, éléments isolés).</w:t>
            </w:r>
          </w:p>
        </w:tc>
      </w:tr>
      <w:tr>
        <w:tc>
          <w:tcPr>
            <w:tcW w:type="dxa" w:w="9866"/>
            <w:shd w:val="clear" w:color="auto" w:fill="FFFFFF"/>
            <w:tcBorders>
              <w:left w:sz="8" w:val="single" w:color="B7C9DA"/>
              <w:bottom w:sz="8" w:val="single" w:color="B7C9DA"/>
              <w:right w:sz="8" w:val="single" w:color="B7C9DA"/>
            </w:tcBorders>
          </w:tcPr>
          <w:p>
            <w:r>
              <w:rPr>
                <w:sz w:val="20"/>
              </w:rPr>
              <w:t>3) Verrouillez les clauses sensibles : confidentialité, exclusivité, mécanisme de prix (trésorerie/dette, BFR, locked box).</w:t>
            </w:r>
          </w:p>
        </w:tc>
      </w:tr>
    </w:tbl>
    <w:p/>
    <w:p>
      <w:pPr>
        <w:pStyle w:val="TitreLOI"/>
      </w:pPr>
      <w:r>
        <w:t>Exemple 1 — LOI simple (acquisition de 100% des titres, non engageante sauf confidentialité)</w:t>
      </w:r>
    </w:p>
    <w:tbl>
      <w:tblPr>
        <w:tblW w:type="auto" w:w="0"/>
        <w:jc w:val="center"/>
        <w:tblLook w:firstColumn="1" w:firstRow="1" w:lastColumn="0" w:lastRow="0" w:noHBand="0" w:noVBand="1" w:val="04A0"/>
      </w:tblPr>
      <w:tblGrid>
        <w:gridCol w:w="4933"/>
        <w:gridCol w:w="4933"/>
      </w:tblGrid>
      <w:tr>
        <w:tc>
          <w:tcPr>
            <w:tcW w:type="dxa" w:w="4933"/>
            <w:shd w:val="clear" w:color="auto" w:fill="F2F2F2"/>
            <w:vAlign w:val="center"/>
            <w:tcBorders>
              <w:top w:sz="8" w:val="single" w:color="B7C9DA"/>
              <w:left w:sz="8" w:val="single" w:color="B7C9DA"/>
              <w:bottom w:sz="8" w:val="single" w:color="B7C9DA"/>
              <w:right w:sz="8" w:val="single" w:color="B7C9DA"/>
            </w:tcBorders>
          </w:tcPr>
          <w:p>
            <w:r>
              <w:rPr>
                <w:b/>
                <w:color w:val="1F4E79"/>
                <w:sz w:val="21"/>
              </w:rPr>
              <w:t>Acquéreur</w:t>
            </w:r>
          </w:p>
        </w:tc>
        <w:tc>
          <w:tcPr>
            <w:tcW w:type="dxa" w:w="4933"/>
            <w:shd w:val="clear" w:color="auto" w:fill="F2F2F2"/>
            <w:vAlign w:val="center"/>
            <w:tcBorders>
              <w:top w:sz="8" w:val="single" w:color="B7C9DA"/>
              <w:left w:sz="8" w:val="single" w:color="B7C9DA"/>
              <w:bottom w:sz="8" w:val="single" w:color="B7C9DA"/>
              <w:right w:sz="8" w:val="single" w:color="B7C9DA"/>
            </w:tcBorders>
          </w:tcPr>
          <w:p>
            <w:r>
              <w:rPr>
                <w:b/>
                <w:color w:val="1F4E79"/>
                <w:sz w:val="21"/>
              </w:rPr>
              <w:t>Vendeur / Cible</w:t>
            </w:r>
          </w:p>
        </w:tc>
      </w:tr>
      <w:tr>
        <w:tc>
          <w:tcPr>
            <w:tcW w:type="dxa" w:w="4933"/>
            <w:vAlign w:val="top"/>
            <w:tcBorders>
              <w:top w:sz="8" w:val="single" w:color="B7C9DA"/>
              <w:left w:sz="8" w:val="single" w:color="B7C9DA"/>
              <w:bottom w:sz="8" w:val="single" w:color="B7C9DA"/>
              <w:right w:sz="8" w:val="single" w:color="B7C9DA"/>
            </w:tcBorders>
          </w:tcPr>
          <w:p>
            <w:r/>
          </w:p>
          <w:p>
            <w:pPr>
              <w:spacing w:after="20"/>
            </w:pPr>
            <w:r>
              <w:rPr>
                <w:sz w:val="20"/>
              </w:rPr>
              <w:t>GROUPE ARMAND CONSEIL SAS</w:t>
            </w:r>
          </w:p>
          <w:p>
            <w:pPr>
              <w:spacing w:after="20"/>
            </w:pPr>
            <w:r>
              <w:rPr>
                <w:sz w:val="20"/>
              </w:rPr>
              <w:t>SAS au capital de 120 000 € – RCS Lyon 901 245 778</w:t>
            </w:r>
          </w:p>
          <w:p>
            <w:pPr>
              <w:spacing w:after="20"/>
            </w:pPr>
            <w:r>
              <w:rPr>
                <w:sz w:val="20"/>
              </w:rPr>
              <w:t>12, rue des Tisseurs – 69003 Lyon</w:t>
            </w:r>
          </w:p>
          <w:p>
            <w:pPr>
              <w:spacing w:after="20"/>
            </w:pPr>
            <w:r>
              <w:rPr>
                <w:sz w:val="20"/>
              </w:rPr>
              <w:t>Représentée par M. Antoine Girard, Président</w:t>
            </w:r>
          </w:p>
        </w:tc>
        <w:tc>
          <w:tcPr>
            <w:tcW w:type="dxa" w:w="4933"/>
            <w:vAlign w:val="top"/>
            <w:tcBorders>
              <w:top w:sz="8" w:val="single" w:color="B7C9DA"/>
              <w:left w:sz="8" w:val="single" w:color="B7C9DA"/>
              <w:bottom w:sz="8" w:val="single" w:color="B7C9DA"/>
              <w:right w:sz="8" w:val="single" w:color="B7C9DA"/>
            </w:tcBorders>
          </w:tcPr>
          <w:p>
            <w:r/>
          </w:p>
          <w:p>
            <w:pPr>
              <w:spacing w:after="20"/>
            </w:pPr>
            <w:r>
              <w:rPr>
                <w:sz w:val="20"/>
              </w:rPr>
              <w:t>ATELIERS BOIS &amp; DESIGN SARL</w:t>
            </w:r>
          </w:p>
          <w:p>
            <w:pPr>
              <w:spacing w:after="20"/>
            </w:pPr>
            <w:r>
              <w:rPr>
                <w:sz w:val="20"/>
              </w:rPr>
              <w:t>SARL au capital de 80 000 € – RCS Saint-Étienne 533 118 204</w:t>
            </w:r>
          </w:p>
          <w:p>
            <w:pPr>
              <w:spacing w:after="20"/>
            </w:pPr>
            <w:r>
              <w:rPr>
                <w:sz w:val="20"/>
              </w:rPr>
              <w:t>18, avenue du Parc – 42000 Saint-Étienne</w:t>
            </w:r>
          </w:p>
          <w:p>
            <w:pPr>
              <w:spacing w:after="20"/>
            </w:pPr>
            <w:r>
              <w:rPr>
                <w:sz w:val="20"/>
              </w:rPr>
              <w:t>Représentée par Mme Claire Lefèvre, Gérante</w:t>
            </w:r>
          </w:p>
        </w:tc>
      </w:tr>
    </w:tbl>
    <w:p/>
    <w:p>
      <w:pPr>
        <w:pStyle w:val="Sous-titreLOI"/>
      </w:pPr>
      <w:r>
        <w:t>Objet : Lettre d’intention – Projet d’acquisition de 100% des parts sociales de ATELIERS BOIS &amp; DESIGN SARL</w:t>
      </w:r>
    </w:p>
    <w:p>
      <w:pPr>
        <w:pStyle w:val="TexteLOI"/>
      </w:pPr>
      <w:r>
        <w:t>Lyon, le 20 décembre 2025</w:t>
      </w:r>
    </w:p>
    <w:p>
      <w:pPr>
        <w:pStyle w:val="TexteLOI"/>
      </w:pPr>
      <w:r>
        <w:t>Madame,</w:t>
      </w:r>
    </w:p>
    <w:p>
      <w:pPr>
        <w:pStyle w:val="TexteLOI"/>
      </w:pPr>
      <w:r>
        <w:t>GROUPE ARMAND CONSEIL SAS (ci-après « l’Acquéreur ») vous confirme, par la présente, son intention d’ouvrir des discussions en vue de l’acquisition de 100% des parts sociales de ATELIERS BOIS &amp; DESIGN SARL (ci-après « la Cible »).</w:t>
      </w:r>
    </w:p>
    <w:p>
      <w:pPr>
        <w:pStyle w:val="Sous-titreLOI"/>
      </w:pPr>
      <w:r>
        <w:t>1) Périmètre envisagé</w:t>
      </w:r>
    </w:p>
    <w:p>
      <w:pPr>
        <w:pStyle w:val="TexteLOI"/>
      </w:pPr>
      <w:r>
        <w:t>L’opération porterait sur 100% des parts sociales, incluant l’ensemble des droits attachés, et la poursuite de l’exploitation sous l’enseigne actuelle.</w:t>
      </w:r>
    </w:p>
    <w:p>
      <w:pPr>
        <w:pStyle w:val="Sous-titreLOI"/>
      </w:pPr>
      <w:r>
        <w:t>2) Prix indicatif et modalités (base de discussion)</w:t>
      </w:r>
    </w:p>
    <w:p>
      <w:pPr>
        <w:pStyle w:val="TexteLOI"/>
      </w:pPr>
      <w:r>
        <w:t>Sous réserve des audits et des conditions ci-dessous, le prix envisagé serait de 1 850 000 € pour 100% des titres, structuré comme suit : 1 650 000 € payable au closing, et 200 000 € sous forme de complément de prix (earn-out) lié au maintien d’un niveau d’EBITDA sur l’exercice 2026. Le prix serait ajusté au closing selon un mécanisme trésorerie/dette, sur la base d’une situation comptable arrêtée à J-5.</w:t>
      </w:r>
    </w:p>
    <w:p>
      <w:pPr>
        <w:pStyle w:val="Sous-titreLOI"/>
      </w:pPr>
      <w:r>
        <w:t>3) Audits (due diligence)</w:t>
      </w:r>
    </w:p>
    <w:p>
      <w:pPr>
        <w:pStyle w:val="TexteLOI"/>
      </w:pPr>
      <w:r>
        <w:t>L’Acquéreur souhaite conduire des audits financier, juridique, fiscal, social, commercial et contrats. Durée : 4 semaines, à compter de l’ouverture de la data room.</w:t>
      </w:r>
    </w:p>
    <w:p>
      <w:pPr>
        <w:pStyle w:val="Sous-titreLOI"/>
      </w:pPr>
      <w:r>
        <w:t>4) Conditions principales</w:t>
      </w:r>
    </w:p>
    <w:p>
      <w:pPr>
        <w:pStyle w:val="TexteLOI"/>
      </w:pPr>
      <w:r>
        <w:t>La finalisation de l’opération resterait conditionnée à la satisfaction des audits, à la validation interne de l’Acquéreur, à la négociation et signature des actes définitifs (protocole de cession, garanties, annexes), et à l’absence d’événement défavorable significatif entre signature et réalisation.</w:t>
      </w:r>
    </w:p>
    <w:p>
      <w:pPr>
        <w:pStyle w:val="Sous-titreLOI"/>
      </w:pPr>
      <w:r>
        <w:t>5) Calendrier indicatif</w:t>
      </w:r>
    </w:p>
    <w:p>
      <w:pPr>
        <w:pStyle w:val="TexteLOI"/>
      </w:pPr>
      <w:r>
        <w:t>Ouverture data room : 6 janvier 2026 – Fin des audits : 3 février 2026 – Signature : semaine du 10 février 2026 – Réalisation : semaine du 24 février 2026.</w:t>
      </w:r>
    </w:p>
    <w:p>
      <w:pPr>
        <w:pStyle w:val="Sous-titreLOI"/>
      </w:pPr>
      <w:r>
        <w:t>6) Confidentialité (clause engageante)</w:t>
      </w:r>
    </w:p>
    <w:p>
      <w:pPr>
        <w:pStyle w:val="TexteLOI"/>
      </w:pPr>
      <w:r>
        <w:t>Toute information communiquée sera strictement confidentielle, utilisée uniquement pour l’analyse de l’opération, et partagée, le cas échéant, avec nos conseils tenus à confidentialité. Durée : 24 mois.</w:t>
      </w:r>
    </w:p>
    <w:p>
      <w:pPr>
        <w:pStyle w:val="Sous-titreLOI"/>
      </w:pPr>
      <w:r>
        <w:t>7) Caractère non engageant</w:t>
      </w:r>
    </w:p>
    <w:p>
      <w:pPr>
        <w:pStyle w:val="TexteLOI"/>
      </w:pPr>
      <w:r>
        <w:t>Cette lettre constitue un cadre de travail et ne vaut pas offre ferme ni engagement de conclure, à l’exception de la clause de confidentialité ci-dessus.</w:t>
      </w:r>
    </w:p>
    <w:p>
      <w:pPr>
        <w:pStyle w:val="Sous-titreLOI"/>
      </w:pPr>
      <w:r>
        <w:t>8) Droit applicable – Juridiction</w:t>
      </w:r>
    </w:p>
    <w:p>
      <w:pPr>
        <w:pStyle w:val="TexteLOI"/>
      </w:pPr>
      <w:r>
        <w:t>Droit applicable : droit français. Tribunal compétent : Tribunal de commerce de Lyon.</w:t>
      </w:r>
    </w:p>
    <w:p>
      <w:pPr>
        <w:pStyle w:val="TexteLOI"/>
      </w:pPr>
      <w:r>
        <w:t>Nous vous proposons d’organiser une réunion de lancement d’audit la semaine du 6 janvier 2026.</w:t>
      </w:r>
    </w:p>
    <w:p>
      <w:pPr>
        <w:pStyle w:val="TexteLOI"/>
      </w:pPr>
      <w:r>
        <w:t>Veuillez agréer, Madame, l’expression de nos salutations distinguées.</w:t>
      </w:r>
    </w:p>
    <w:p>
      <w:pPr>
        <w:pStyle w:val="TexteLOI"/>
      </w:pPr>
      <w:r>
        <w:t>M. Antoine Girard</w:t>
      </w:r>
    </w:p>
    <w:p>
      <w:pPr>
        <w:pStyle w:val="TexteLOI"/>
      </w:pPr>
      <w:r>
        <w:t>Président – GROUPE ARMAND CONSEIL SAS</w:t>
      </w:r>
    </w:p>
    <w:p>
      <w:pPr>
        <w:pStyle w:val="TexteLOI"/>
      </w:pPr>
      <w:r>
        <w:t>Signature :</w:t>
      </w:r>
    </w:p>
    <w:p>
      <w:r>
        <w:br w:type="page"/>
      </w:r>
    </w:p>
    <w:p>
      <w:pPr>
        <w:pStyle w:val="TitreLOI"/>
      </w:pPr>
      <w:r>
        <w:t>Exemple 2 — LOI cadrée (acquisition de 70% des actions + exclusivité + locked box)</w:t>
      </w:r>
    </w:p>
    <w:tbl>
      <w:tblPr>
        <w:tblW w:type="auto" w:w="0"/>
        <w:jc w:val="center"/>
        <w:tblLook w:firstColumn="1" w:firstRow="1" w:lastColumn="0" w:lastRow="0" w:noHBand="0" w:noVBand="1" w:val="04A0"/>
      </w:tblPr>
      <w:tblGrid>
        <w:gridCol w:w="4933"/>
        <w:gridCol w:w="4933"/>
      </w:tblGrid>
      <w:tr>
        <w:tc>
          <w:tcPr>
            <w:tcW w:type="dxa" w:w="4933"/>
            <w:shd w:val="clear" w:color="auto" w:fill="F2F2F2"/>
            <w:vAlign w:val="center"/>
            <w:tcBorders>
              <w:top w:sz="8" w:val="single" w:color="B7C9DA"/>
              <w:left w:sz="8" w:val="single" w:color="B7C9DA"/>
              <w:bottom w:sz="8" w:val="single" w:color="B7C9DA"/>
              <w:right w:sz="8" w:val="single" w:color="B7C9DA"/>
            </w:tcBorders>
          </w:tcPr>
          <w:p>
            <w:r>
              <w:rPr>
                <w:b/>
                <w:color w:val="1F4E79"/>
                <w:sz w:val="21"/>
              </w:rPr>
              <w:t>Acquéreur</w:t>
            </w:r>
          </w:p>
        </w:tc>
        <w:tc>
          <w:tcPr>
            <w:tcW w:type="dxa" w:w="4933"/>
            <w:shd w:val="clear" w:color="auto" w:fill="F2F2F2"/>
            <w:vAlign w:val="center"/>
            <w:tcBorders>
              <w:top w:sz="8" w:val="single" w:color="B7C9DA"/>
              <w:left w:sz="8" w:val="single" w:color="B7C9DA"/>
              <w:bottom w:sz="8" w:val="single" w:color="B7C9DA"/>
              <w:right w:sz="8" w:val="single" w:color="B7C9DA"/>
            </w:tcBorders>
          </w:tcPr>
          <w:p>
            <w:r>
              <w:rPr>
                <w:b/>
                <w:color w:val="1F4E79"/>
                <w:sz w:val="21"/>
              </w:rPr>
              <w:t>Vendeur / Cible</w:t>
            </w:r>
          </w:p>
        </w:tc>
      </w:tr>
      <w:tr>
        <w:tc>
          <w:tcPr>
            <w:tcW w:type="dxa" w:w="4933"/>
            <w:vAlign w:val="top"/>
            <w:tcBorders>
              <w:top w:sz="8" w:val="single" w:color="B7C9DA"/>
              <w:left w:sz="8" w:val="single" w:color="B7C9DA"/>
              <w:bottom w:sz="8" w:val="single" w:color="B7C9DA"/>
              <w:right w:sz="8" w:val="single" w:color="B7C9DA"/>
            </w:tcBorders>
          </w:tcPr>
          <w:p>
            <w:r/>
          </w:p>
          <w:p>
            <w:pPr>
              <w:spacing w:after="20"/>
            </w:pPr>
            <w:r>
              <w:rPr>
                <w:sz w:val="20"/>
              </w:rPr>
              <w:t>NOVA PARTICIPATIONS SAS</w:t>
            </w:r>
          </w:p>
          <w:p>
            <w:pPr>
              <w:spacing w:after="20"/>
            </w:pPr>
            <w:r>
              <w:rPr>
                <w:sz w:val="20"/>
              </w:rPr>
              <w:t>SAS au capital de 500 000 € – RCS Paris 889 770 214</w:t>
            </w:r>
          </w:p>
          <w:p>
            <w:pPr>
              <w:spacing w:after="20"/>
            </w:pPr>
            <w:r>
              <w:rPr>
                <w:sz w:val="20"/>
              </w:rPr>
              <w:t>5, boulevard Haussmann – 75009 Paris</w:t>
            </w:r>
          </w:p>
          <w:p>
            <w:pPr>
              <w:spacing w:after="20"/>
            </w:pPr>
            <w:r>
              <w:rPr>
                <w:sz w:val="20"/>
              </w:rPr>
              <w:t>Représentée par Mme Élodie Martin, Directrice des investissements</w:t>
            </w:r>
          </w:p>
        </w:tc>
        <w:tc>
          <w:tcPr>
            <w:tcW w:type="dxa" w:w="4933"/>
            <w:vAlign w:val="top"/>
            <w:tcBorders>
              <w:top w:sz="8" w:val="single" w:color="B7C9DA"/>
              <w:left w:sz="8" w:val="single" w:color="B7C9DA"/>
              <w:bottom w:sz="8" w:val="single" w:color="B7C9DA"/>
              <w:right w:sz="8" w:val="single" w:color="B7C9DA"/>
            </w:tcBorders>
          </w:tcPr>
          <w:p>
            <w:r/>
          </w:p>
          <w:p>
            <w:pPr>
              <w:spacing w:after="20"/>
            </w:pPr>
            <w:r>
              <w:rPr>
                <w:sz w:val="20"/>
              </w:rPr>
              <w:t>DATAFLOW SOLUTIONS SAS</w:t>
            </w:r>
          </w:p>
          <w:p>
            <w:pPr>
              <w:spacing w:after="20"/>
            </w:pPr>
            <w:r>
              <w:rPr>
                <w:sz w:val="20"/>
              </w:rPr>
              <w:t>SAS au capital de 150 000 € – RCS Nanterre 812 440 667</w:t>
            </w:r>
          </w:p>
          <w:p>
            <w:pPr>
              <w:spacing w:after="20"/>
            </w:pPr>
            <w:r>
              <w:rPr>
                <w:sz w:val="20"/>
              </w:rPr>
              <w:t>27, rue de la Gare – 92000 Nanterre</w:t>
            </w:r>
          </w:p>
          <w:p>
            <w:pPr>
              <w:spacing w:after="20"/>
            </w:pPr>
            <w:r>
              <w:rPr>
                <w:sz w:val="20"/>
              </w:rPr>
              <w:t>Représentée par M. Julien Moreau, Président</w:t>
            </w:r>
          </w:p>
        </w:tc>
      </w:tr>
    </w:tbl>
    <w:p/>
    <w:p>
      <w:pPr>
        <w:pStyle w:val="Sous-titreLOI"/>
      </w:pPr>
      <w:r>
        <w:t>Objet : Lettre d’intention – Acquisition de 70% des actions de DATAFLOW SOLUTIONS SAS – Exclusivité</w:t>
      </w:r>
    </w:p>
    <w:p>
      <w:pPr>
        <w:pStyle w:val="TexteLOI"/>
      </w:pPr>
      <w:r>
        <w:t>Paris, le 20 décembre 2025</w:t>
      </w:r>
    </w:p>
    <w:p>
      <w:pPr>
        <w:pStyle w:val="TexteLOI"/>
      </w:pPr>
      <w:r>
        <w:t>Monsieur,</w:t>
      </w:r>
    </w:p>
    <w:p>
      <w:pPr>
        <w:pStyle w:val="TexteLOI"/>
      </w:pPr>
      <w:r>
        <w:t>À la suite de nos échanges, NOVA PARTICIPATIONS SAS (ci-après « l’Acquéreur ») confirme son intention d’avancer vers l’acquisition de 70% des actions de DATAFLOW SOLUTIONS SAS (ci-après « la Cible ») selon les termes indicatifs suivants.</w:t>
      </w:r>
    </w:p>
    <w:p>
      <w:pPr>
        <w:pStyle w:val="Sous-titreLOI"/>
      </w:pPr>
      <w:r>
        <w:t>1) Structure de l’opération</w:t>
      </w:r>
    </w:p>
    <w:p>
      <w:pPr>
        <w:pStyle w:val="TexteLOI"/>
      </w:pPr>
      <w:r>
        <w:t>Acquisition de 70% des actions, avec maintien de 30% au fondateur. Mise en place d’un pacte d’actionnaires (gouvernance, clauses de liquidité, non-concurrence, reporting mensuel). Signature d’une garantie d’actif et de passif et de déclarations usuelles.</w:t>
      </w:r>
    </w:p>
    <w:p>
      <w:pPr>
        <w:pStyle w:val="Sous-titreLOI"/>
      </w:pPr>
      <w:r>
        <w:t>2) Valorisation – Prix (approche locked box)</w:t>
      </w:r>
    </w:p>
    <w:p>
      <w:pPr>
        <w:pStyle w:val="TexteLOI"/>
      </w:pPr>
      <w:r>
        <w:t>Enterprise Value (EV) : 6 200 000 €. Prix indicatif des titres (70%) : 3 850 000 €, calculé sur base d’une valorisation équivalente à un multiple d’EBITDA 2025E, à confirmer. Locked box au 30 septembre 2025, avec clause anti-leakage.</w:t>
      </w:r>
    </w:p>
    <w:p>
      <w:pPr>
        <w:pStyle w:val="Sous-titreLOI"/>
      </w:pPr>
      <w:r>
        <w:t>3) Modalités de paiement</w:t>
      </w:r>
    </w:p>
    <w:p>
      <w:pPr>
        <w:pStyle w:val="TexteLOI"/>
      </w:pPr>
      <w:r>
        <w:t>3 300 000 € au closing, et 550 000 € en complément de prix conditionné à l’atteinte de 1,4 M€ d’EBITDA 2026 (plancher et proportionnel à définir dans les actes).</w:t>
      </w:r>
    </w:p>
    <w:p>
      <w:pPr>
        <w:pStyle w:val="Sous-titreLOI"/>
      </w:pPr>
      <w:r>
        <w:t>4) Audits et data room</w:t>
      </w:r>
    </w:p>
    <w:p>
      <w:pPr>
        <w:pStyle w:val="TexteLOI"/>
      </w:pPr>
      <w:r>
        <w:t>Ouverture d’une data room comprenant : comptes 2023-2025, situation au 30/09/2025, contrats clients majeurs, propriété intellectuelle (contrats), conformité RGPD, RH, litiges, baux, assurances, dépendances fournisseurs. Durée : 5 semaines à compter de l’ouverture.</w:t>
      </w:r>
    </w:p>
    <w:p>
      <w:pPr>
        <w:pStyle w:val="Sous-titreLOI"/>
      </w:pPr>
      <w:r>
        <w:t>5) Exclusivité (clause engageante)</w:t>
      </w:r>
    </w:p>
    <w:p>
      <w:pPr>
        <w:pStyle w:val="TexteLOI"/>
      </w:pPr>
      <w:r>
        <w:t>En contrepartie des coûts d’analyse engagés, le Vendeur s’engage à accorder à l’Acquéreur une exclusivité de 45 jours à compter de la signature de la présente, impliquant la suspension de toute négociation avancée avec un tiers et l’absence de sollicitation active. Le Vendeur informera immédiatement l’Acquéreur de toute approche reçue.</w:t>
      </w:r>
    </w:p>
    <w:p>
      <w:pPr>
        <w:pStyle w:val="Sous-titreLOI"/>
      </w:pPr>
      <w:r>
        <w:t>6) Confidentialité (clause engageante)</w:t>
      </w:r>
    </w:p>
    <w:p>
      <w:pPr>
        <w:pStyle w:val="TexteLOI"/>
      </w:pPr>
      <w:r>
        <w:t>Confidentialité stricte sur les informations et les conditions financières, durée 24 mois, partage limité aux conseils tenus à confidentialité.</w:t>
      </w:r>
    </w:p>
    <w:p>
      <w:pPr>
        <w:pStyle w:val="Sous-titreLOI"/>
      </w:pPr>
      <w:r>
        <w:t>7) Frais</w:t>
      </w:r>
    </w:p>
    <w:p>
      <w:pPr>
        <w:pStyle w:val="TexteLOI"/>
      </w:pPr>
      <w:r>
        <w:t>Chaque partie supporte ses frais. Les frais d’audit IT/cyber spécifiques (plafonnés à 12 000 € HT) seront pris en charge par l’Acquéreur.</w:t>
      </w:r>
    </w:p>
    <w:p>
      <w:pPr>
        <w:pStyle w:val="Sous-titreLOI"/>
      </w:pPr>
      <w:r>
        <w:t>8) Non-engagement (hors clauses engageantes)</w:t>
      </w:r>
    </w:p>
    <w:p>
      <w:pPr>
        <w:pStyle w:val="TexteLOI"/>
      </w:pPr>
      <w:r>
        <w:t>La présente LOI ne constitue pas une offre ferme. La cession ne deviendra effective qu’à la signature des actes définitifs.</w:t>
      </w:r>
    </w:p>
    <w:p>
      <w:pPr>
        <w:pStyle w:val="TexteLOI"/>
      </w:pPr>
      <w:r>
        <w:t>Droit applicable : droit français. Tribunal compétent : Tribunal de commerce de Paris.</w:t>
      </w:r>
    </w:p>
    <w:p>
      <w:pPr>
        <w:pStyle w:val="TexteLOI"/>
      </w:pPr>
      <w:r>
        <w:t>Pour NOVA PARTICIPATIONS SAS – Mme Élodie Martin – Signature :</w:t>
      </w:r>
    </w:p>
    <w:p>
      <w:pPr>
        <w:pStyle w:val="TexteLOI"/>
      </w:pPr>
      <w:r>
        <w:t>Pour DATAFLOW SOLUTIONS SAS – M. Julien Moreau – Signature :</w:t>
      </w:r>
    </w:p>
    <w:p/>
    <w:p>
      <w:pPr>
        <w:pStyle w:val="TitreLOI"/>
      </w:pPr>
      <w:r>
        <w:t>Exemple 3 — LOI rachat d’actifs / fonds de commerce (sans reprise de la société)</w:t>
      </w:r>
    </w:p>
    <w:tbl>
      <w:tblPr>
        <w:tblW w:type="auto" w:w="0"/>
        <w:jc w:val="center"/>
        <w:tblLook w:firstColumn="1" w:firstRow="1" w:lastColumn="0" w:lastRow="0" w:noHBand="0" w:noVBand="1" w:val="04A0"/>
      </w:tblPr>
      <w:tblGrid>
        <w:gridCol w:w="4933"/>
        <w:gridCol w:w="4933"/>
      </w:tblGrid>
      <w:tr>
        <w:tc>
          <w:tcPr>
            <w:tcW w:type="dxa" w:w="4933"/>
            <w:shd w:val="clear" w:color="auto" w:fill="F2F2F2"/>
            <w:vAlign w:val="center"/>
            <w:tcBorders>
              <w:top w:sz="8" w:val="single" w:color="B7C9DA"/>
              <w:left w:sz="8" w:val="single" w:color="B7C9DA"/>
              <w:bottom w:sz="8" w:val="single" w:color="B7C9DA"/>
              <w:right w:sz="8" w:val="single" w:color="B7C9DA"/>
            </w:tcBorders>
          </w:tcPr>
          <w:p>
            <w:r>
              <w:rPr>
                <w:b/>
                <w:color w:val="1F4E79"/>
                <w:sz w:val="21"/>
              </w:rPr>
              <w:t>Acquéreur</w:t>
            </w:r>
          </w:p>
        </w:tc>
        <w:tc>
          <w:tcPr>
            <w:tcW w:type="dxa" w:w="4933"/>
            <w:shd w:val="clear" w:color="auto" w:fill="F2F2F2"/>
            <w:vAlign w:val="center"/>
            <w:tcBorders>
              <w:top w:sz="8" w:val="single" w:color="B7C9DA"/>
              <w:left w:sz="8" w:val="single" w:color="B7C9DA"/>
              <w:bottom w:sz="8" w:val="single" w:color="B7C9DA"/>
              <w:right w:sz="8" w:val="single" w:color="B7C9DA"/>
            </w:tcBorders>
          </w:tcPr>
          <w:p>
            <w:r>
              <w:rPr>
                <w:b/>
                <w:color w:val="1F4E79"/>
                <w:sz w:val="21"/>
              </w:rPr>
              <w:t>Vendeur / Exploitant</w:t>
            </w:r>
          </w:p>
        </w:tc>
      </w:tr>
      <w:tr>
        <w:tc>
          <w:tcPr>
            <w:tcW w:type="dxa" w:w="4933"/>
            <w:vAlign w:val="top"/>
            <w:tcBorders>
              <w:top w:sz="8" w:val="single" w:color="B7C9DA"/>
              <w:left w:sz="8" w:val="single" w:color="B7C9DA"/>
              <w:bottom w:sz="8" w:val="single" w:color="B7C9DA"/>
              <w:right w:sz="8" w:val="single" w:color="B7C9DA"/>
            </w:tcBorders>
          </w:tcPr>
          <w:p>
            <w:r/>
          </w:p>
          <w:p>
            <w:pPr>
              <w:spacing w:after="20"/>
            </w:pPr>
            <w:r>
              <w:rPr>
                <w:sz w:val="20"/>
              </w:rPr>
              <w:t>ATLAS RETAIL SARL</w:t>
            </w:r>
          </w:p>
          <w:p>
            <w:pPr>
              <w:spacing w:after="20"/>
            </w:pPr>
            <w:r>
              <w:rPr>
                <w:sz w:val="20"/>
              </w:rPr>
              <w:t>SARL au capital de 50 000 € – RCS Lille 842 556 190</w:t>
            </w:r>
          </w:p>
          <w:p>
            <w:pPr>
              <w:spacing w:after="20"/>
            </w:pPr>
            <w:r>
              <w:rPr>
                <w:sz w:val="20"/>
              </w:rPr>
              <w:t>9, rue Nationale – 59800 Lille</w:t>
            </w:r>
          </w:p>
          <w:p>
            <w:pPr>
              <w:spacing w:after="20"/>
            </w:pPr>
            <w:r>
              <w:rPr>
                <w:sz w:val="20"/>
              </w:rPr>
              <w:t>Représentée par M. Nicolas Bernard, Gérant</w:t>
            </w:r>
          </w:p>
        </w:tc>
        <w:tc>
          <w:tcPr>
            <w:tcW w:type="dxa" w:w="4933"/>
            <w:vAlign w:val="top"/>
            <w:tcBorders>
              <w:top w:sz="8" w:val="single" w:color="B7C9DA"/>
              <w:left w:sz="8" w:val="single" w:color="B7C9DA"/>
              <w:bottom w:sz="8" w:val="single" w:color="B7C9DA"/>
              <w:right w:sz="8" w:val="single" w:color="B7C9DA"/>
            </w:tcBorders>
          </w:tcPr>
          <w:p>
            <w:r/>
          </w:p>
          <w:p>
            <w:pPr>
              <w:spacing w:after="20"/>
            </w:pPr>
            <w:r>
              <w:rPr>
                <w:sz w:val="20"/>
              </w:rPr>
              <w:t>BOUTIQUE RIVE NORD SAS</w:t>
            </w:r>
          </w:p>
          <w:p>
            <w:pPr>
              <w:spacing w:after="20"/>
            </w:pPr>
            <w:r>
              <w:rPr>
                <w:sz w:val="20"/>
              </w:rPr>
              <w:t>SAS au capital de 30 000 € – RCS Lille 812 331 092</w:t>
            </w:r>
          </w:p>
          <w:p>
            <w:pPr>
              <w:spacing w:after="20"/>
            </w:pPr>
            <w:r>
              <w:rPr>
                <w:sz w:val="20"/>
              </w:rPr>
              <w:t>41, place du Théâtre – 59800 Lille</w:t>
            </w:r>
          </w:p>
          <w:p>
            <w:pPr>
              <w:spacing w:after="20"/>
            </w:pPr>
            <w:r>
              <w:rPr>
                <w:sz w:val="20"/>
              </w:rPr>
              <w:t>Représentée par Mme Nathalie Chevalier, Présidente</w:t>
            </w:r>
          </w:p>
        </w:tc>
      </w:tr>
    </w:tbl>
    <w:p/>
    <w:p>
      <w:pPr>
        <w:pStyle w:val="Sous-titreLOI"/>
      </w:pPr>
      <w:r>
        <w:t>Objet : Lettre d’intention – Acquisition du fonds de commerce “Rive Nord” (boutique + e-commerce)</w:t>
      </w:r>
    </w:p>
    <w:p>
      <w:pPr>
        <w:pStyle w:val="TexteLOI"/>
      </w:pPr>
      <w:r>
        <w:t>Lille, le 20 décembre 2025</w:t>
      </w:r>
    </w:p>
    <w:p>
      <w:pPr>
        <w:pStyle w:val="TexteLOI"/>
      </w:pPr>
      <w:r>
        <w:t>Madame,</w:t>
      </w:r>
    </w:p>
    <w:p>
      <w:pPr>
        <w:pStyle w:val="TexteLOI"/>
      </w:pPr>
      <w:r>
        <w:t>ATLAS RETAIL SARL (ci-après « l’Acquéreur ») vous confirme son intention d’acquérir le fonds de commerce exploité sous l’enseigne “Rive Nord”, incluant la boutique physique et l’activité e-commerce, selon les principes suivants.</w:t>
      </w:r>
    </w:p>
    <w:p>
      <w:pPr>
        <w:pStyle w:val="Sous-titreLOI"/>
      </w:pPr>
      <w:r>
        <w:t>1) Actifs repris</w:t>
      </w:r>
    </w:p>
    <w:p>
      <w:pPr>
        <w:pStyle w:val="TexteLOI"/>
      </w:pPr>
      <w:r>
        <w:t>Clientèle et achalandage, fichiers clients (dans le respect des règles applicables), nom commercial “Rive Nord” et éléments de marque, site e-commerce (nom de domaine, back-office, contenus), comptes publicitaires. Stocks : reprise sur inventaire à J-1, valorisée au prix d’achat net (justificatifs). Matériels : caisse, rayonnages, mobilier et équipements (liste à établir). Contrats transférables : prestataire logistique, maintenance caisse, hébergement web (sous réserve d’accord).</w:t>
      </w:r>
    </w:p>
    <w:p>
      <w:pPr>
        <w:pStyle w:val="Sous-titreLOI"/>
      </w:pPr>
      <w:r>
        <w:t>2) Passifs exclus</w:t>
      </w:r>
    </w:p>
    <w:p>
      <w:pPr>
        <w:pStyle w:val="TexteLOI"/>
      </w:pPr>
      <w:r>
        <w:t>L’Acquéreur n’assume aucune dette antérieure, pénalité, litige, ou obligation non expressément reprise. Toute charge liée à des périodes antérieures demeure à la charge du Vendeur.</w:t>
      </w:r>
    </w:p>
    <w:p>
      <w:pPr>
        <w:pStyle w:val="Sous-titreLOI"/>
      </w:pPr>
      <w:r>
        <w:t>3) Prix indicatif et paiement</w:t>
      </w:r>
    </w:p>
    <w:p>
      <w:pPr>
        <w:pStyle w:val="TexteLOI"/>
      </w:pPr>
      <w:r>
        <w:t>Prix global indicatif : 420 000 €, ventilé à titre indicatif comme suit : incorporels (clientèle, enseigne, site) 260 000 €, matériels 40 000 €, stocks estimatifs 120 000 € (à ajuster à l’inventaire). Paiement : 300 000 € à la signature définitive et 120 000 € au closing, ajusté après inventaire.</w:t>
      </w:r>
    </w:p>
    <w:p>
      <w:pPr>
        <w:pStyle w:val="Sous-titreLOI"/>
      </w:pPr>
      <w:r>
        <w:t>4) Conditions suspensives</w:t>
      </w:r>
    </w:p>
    <w:p>
      <w:pPr>
        <w:pStyle w:val="TexteLOI"/>
      </w:pPr>
      <w:r>
        <w:t>Accord du bailleur sur cession du bail ou signature d’un nouveau bail. Audits satisfaisants (contrats, propriété du nom de domaine, cohérence des ventes et des stocks). Absence d’opposition bloquante liée aux formalités usuelles de cession.</w:t>
      </w:r>
    </w:p>
    <w:p>
      <w:pPr>
        <w:pStyle w:val="Sous-titreLOI"/>
      </w:pPr>
      <w:r>
        <w:t>5) Calendrier indicatif</w:t>
      </w:r>
    </w:p>
    <w:p>
      <w:pPr>
        <w:pStyle w:val="TexteLOI"/>
      </w:pPr>
      <w:r>
        <w:t>Inventaire préliminaire : 5 janvier 2026 – Data room allégée : 8 janvier 2026 – Signature : semaine du 27 janvier 2026 – Closing et prise de possession : 1er février 2026.</w:t>
      </w:r>
    </w:p>
    <w:p>
      <w:pPr>
        <w:pStyle w:val="Sous-titreLOI"/>
      </w:pPr>
      <w:r>
        <w:t>6) Confidentialité (clause engageante)</w:t>
      </w:r>
    </w:p>
    <w:p>
      <w:pPr>
        <w:pStyle w:val="TexteLOI"/>
      </w:pPr>
      <w:r>
        <w:t>Confidentialité stricte sur les informations et les conditions financières. Durée : 18 mois.</w:t>
      </w:r>
    </w:p>
    <w:p>
      <w:pPr>
        <w:pStyle w:val="Sous-titreLOI"/>
      </w:pPr>
      <w:r>
        <w:t>7) Non-engagement</w:t>
      </w:r>
    </w:p>
    <w:p>
      <w:pPr>
        <w:pStyle w:val="TexteLOI"/>
      </w:pPr>
      <w:r>
        <w:t>Cette lettre d’intention exprime un cadre de discussion. La cession ne sera définitive qu’à la signature des actes.</w:t>
      </w:r>
    </w:p>
    <w:p>
      <w:pPr>
        <w:pStyle w:val="TexteLOI"/>
      </w:pPr>
      <w:r>
        <w:t>Veuillez agréer, Madame, l’expression de nos salutations distinguées.</w:t>
      </w:r>
    </w:p>
    <w:p>
      <w:pPr>
        <w:pStyle w:val="TexteLOI"/>
      </w:pPr>
      <w:r>
        <w:t>M. Nicolas Bernard</w:t>
      </w:r>
    </w:p>
    <w:p>
      <w:pPr>
        <w:pStyle w:val="TexteLOI"/>
      </w:pPr>
      <w:r>
        <w:t>Gérant – ATLAS RETAIL SARL</w:t>
      </w:r>
    </w:p>
    <w:p>
      <w:pPr>
        <w:pStyle w:val="TexteLOI"/>
      </w:pPr>
      <w:r>
        <w:t>Signature :</w:t>
      </w:r>
    </w:p>
    <w:sectPr w:rsidR="00FC693F" w:rsidRPr="0006063C" w:rsidSect="00034616">
      <w:footerReference w:type="default" r:id="rId9"/>
      <w:pgSz w:w="11906" w:h="16838"/>
      <w:pgMar w:top="1020" w:right="1020" w:bottom="102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itreLOI">
    <w:name w:val="Titre LOI"/>
    <w:pPr>
      <w:spacing w:before="200" w:after="80"/>
    </w:pPr>
    <w:rPr>
      <w:rFonts w:ascii="Calibri" w:hAnsi="Calibri"/>
      <w:b/>
      <w:color w:val="1F4E79"/>
      <w:sz w:val="30"/>
    </w:rPr>
  </w:style>
  <w:style w:type="paragraph" w:customStyle="1" w:styleId="Sous-titreLOI">
    <w:name w:val="Sous-titre LOI"/>
    <w:pPr>
      <w:spacing w:before="120" w:after="40"/>
    </w:pPr>
    <w:rPr>
      <w:rFonts w:ascii="Calibri" w:hAnsi="Calibri"/>
      <w:b/>
      <w:color w:val="1F4E79"/>
      <w:sz w:val="21"/>
    </w:rPr>
  </w:style>
  <w:style w:type="paragraph" w:customStyle="1" w:styleId="TexteLOI">
    <w:name w:val="Texte LOI"/>
    <w:pPr>
      <w:spacing w:before="0" w:after="40" w:line="264" w:lineRule="auto"/>
    </w:pPr>
    <w:rPr>
      <w:rFonts w:ascii="Calibri" w:hAnsi="Calibri"/>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