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7DEE5"/>
          <w:left w:val="single" w:sz="6" w:space="0" w:color="D7DEE5"/>
          <w:bottom w:val="single" w:sz="6" w:space="0" w:color="D7DEE5"/>
          <w:right w:val="single" w:sz="6" w:space="0" w:color="D7DEE5"/>
          <w:insideH w:val="single" w:sz="6" w:space="0" w:color="D7DEE5"/>
          <w:insideV w:val="single" w:sz="6" w:space="0" w:color="D7DEE5"/>
        </w:tblBorders>
      </w:tblPr>
      <w:tblGrid>
        <w:gridCol w:w="10540"/>
      </w:tblGrid>
      <w:tr>
        <w:tc>
          <w:tcPr>
            <w:tcW w:type="dxa" w:w="10540"/>
            <w:shd w:val="clear" w:color="auto" w:fill="0F9D8F"/>
          </w:tcPr>
          <w:p>
            <w:pPr>
              <w:jc w:val="left"/>
            </w:pPr>
            <w:r>
              <w:rPr>
                <w:b/>
                <w:color w:val="FFFFFF"/>
                <w:sz w:val="40"/>
              </w:rPr>
              <w:t>Schéma narratif — Cas complété</w:t>
            </w:r>
          </w:p>
          <w:p>
            <w:pPr>
              <w:jc w:val="left"/>
            </w:pPr>
            <w:r>
              <w:rPr>
                <w:color w:val="FFFFFF"/>
                <w:sz w:val="22"/>
              </w:rPr>
              <w:t>Exemple réaliste : « Le voyant rouge » — une panne résolue par méthode.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0F2F1"/>
          </w:tcPr>
          <w:p>
            <w:pPr>
              <w:jc w:val="left"/>
            </w:pPr>
            <w:r>
              <w:rPr>
                <w:b/>
                <w:sz w:val="26"/>
              </w:rPr>
              <w:t>Fiche d’identification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D7DEE5"/>
          <w:left w:val="single" w:sz="6" w:space="0" w:color="D7DEE5"/>
          <w:bottom w:val="single" w:sz="6" w:space="0" w:color="D7DEE5"/>
          <w:right w:val="single" w:sz="6" w:space="0" w:color="D7DEE5"/>
          <w:insideH w:val="single" w:sz="6" w:space="0" w:color="D7DEE5"/>
          <w:insideV w:val="single" w:sz="6" w:space="0" w:color="D7DEE5"/>
        </w:tblBorders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</w:tcPr>
          <w:p>
            <w:r>
              <w:rPr>
                <w:b/>
                <w:sz w:val="19"/>
              </w:rPr>
              <w:t>Titre du récit</w:t>
            </w:r>
          </w:p>
          <w:p>
            <w:r>
              <w:t>Le voyant rouge</w:t>
            </w:r>
          </w:p>
        </w:tc>
        <w:tc>
          <w:tcPr>
            <w:tcW w:type="dxa" w:w="2635"/>
          </w:tcPr>
          <w:p>
            <w:r>
              <w:rPr>
                <w:b/>
                <w:sz w:val="19"/>
              </w:rPr>
              <w:t>Auteur/Source</w:t>
            </w:r>
          </w:p>
          <w:p>
            <w:r>
              <w:t>Atelier d'écriture – lecoursgratuit.com</w:t>
            </w:r>
          </w:p>
        </w:tc>
        <w:tc>
          <w:tcPr>
            <w:tcW w:type="dxa" w:w="2635"/>
          </w:tcPr>
          <w:p>
            <w:r>
              <w:rPr>
                <w:b/>
                <w:sz w:val="19"/>
              </w:rPr>
              <w:t>Classe/Groupe</w:t>
            </w:r>
          </w:p>
          <w:p>
            <w:r>
              <w:t>2nde B / Groupe Atelier</w:t>
            </w:r>
          </w:p>
        </w:tc>
        <w:tc>
          <w:tcPr>
            <w:tcW w:type="dxa" w:w="2635"/>
          </w:tcPr>
          <w:p>
            <w:r>
              <w:rPr>
                <w:b/>
                <w:sz w:val="19"/>
              </w:rPr>
              <w:t>Date</w:t>
            </w:r>
          </w:p>
          <w:p>
            <w:r>
              <w:t>05/11/2025</w:t>
            </w:r>
          </w:p>
        </w:tc>
      </w:tr>
      <w:tr>
        <w:tc>
          <w:tcPr>
            <w:tcW w:type="dxa" w:w="2635"/>
          </w:tcPr>
          <w:p>
            <w:r>
              <w:rPr>
                <w:b/>
                <w:sz w:val="19"/>
              </w:rPr>
              <w:t>Séquence/Chapitre</w:t>
            </w:r>
          </w:p>
          <w:p>
            <w:r>
              <w:t>Séq. 3 — Récits du réel</w:t>
            </w:r>
          </w:p>
        </w:tc>
        <w:tc>
          <w:tcPr>
            <w:tcW w:type="dxa" w:w="2635"/>
          </w:tcPr>
          <w:p>
            <w:r>
              <w:rPr>
                <w:b/>
                <w:sz w:val="19"/>
              </w:rPr>
              <w:t>Durée</w:t>
            </w:r>
          </w:p>
          <w:p>
            <w:r>
              <w:t>1 page</w:t>
            </w:r>
          </w:p>
        </w:tc>
        <w:tc>
          <w:tcPr>
            <w:tcW w:type="dxa" w:w="2635"/>
          </w:tcPr>
          <w:p>
            <w:r>
              <w:rPr>
                <w:b/>
                <w:sz w:val="19"/>
              </w:rPr>
              <w:t>Narrateur</w:t>
            </w:r>
          </w:p>
          <w:p>
            <w:r>
              <w:t>Externe (il/elle)</w:t>
            </w:r>
          </w:p>
        </w:tc>
        <w:tc>
          <w:tcPr>
            <w:tcW w:type="dxa" w:w="2635"/>
          </w:tcPr>
          <w:p>
            <w:r>
              <w:rPr>
                <w:b/>
                <w:sz w:val="19"/>
              </w:rPr>
              <w:t>Temps du récit</w:t>
            </w:r>
          </w:p>
          <w:p>
            <w:r>
              <w:t>Imparfait / Passé simple</w:t>
            </w:r>
          </w:p>
        </w:tc>
      </w:tr>
      <w:tr>
        <w:tc>
          <w:tcPr>
            <w:tcW w:type="dxa" w:w="2635"/>
          </w:tcPr>
          <w:p>
            <w:r>
              <w:rPr>
                <w:b/>
                <w:sz w:val="19"/>
              </w:rPr>
              <w:t>Genre</w:t>
            </w:r>
          </w:p>
          <w:p>
            <w:r>
              <w:t>Réaliste (atelier)</w:t>
            </w:r>
          </w:p>
        </w:tc>
        <w:tc>
          <w:tcPr>
            <w:tcW w:type="dxa" w:w="2635"/>
          </w:tcPr>
          <w:p>
            <w:r>
              <w:rPr>
                <w:b/>
                <w:sz w:val="19"/>
              </w:rPr>
              <w:t>Mots-clés</w:t>
            </w:r>
          </w:p>
          <w:p>
            <w:r>
              <w:t>atelier, machine, panne, indice</w:t>
            </w:r>
          </w:p>
        </w:tc>
        <w:tc>
          <w:tcPr>
            <w:tcW w:type="dxa" w:w="2635"/>
          </w:tcPr>
          <w:p>
            <w:r>
              <w:rPr>
                <w:b/>
                <w:sz w:val="19"/>
              </w:rPr>
              <w:t>Cadre (où/quand)</w:t>
            </w:r>
          </w:p>
          <w:p>
            <w:r>
              <w:t>Atelier de production — matin d’hiver</w:t>
            </w:r>
          </w:p>
        </w:tc>
        <w:tc>
          <w:tcPr>
            <w:tcW w:type="dxa" w:w="2635"/>
          </w:tcPr>
          <w:p>
            <w:r>
              <w:rPr>
                <w:b/>
                <w:sz w:val="19"/>
              </w:rPr>
              <w:t>Objectif</w:t>
            </w:r>
          </w:p>
          <w:p>
            <w:r>
              <w:t>Résoudre une panne avant livraison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0F2F1"/>
          </w:tcPr>
          <w:p>
            <w:pPr>
              <w:jc w:val="left"/>
            </w:pPr>
            <w:r>
              <w:rPr>
                <w:b/>
                <w:sz w:val="26"/>
              </w:rPr>
              <w:t>Situation initiale (Qui ? Où ? Quand ? État de départ)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D7DEE5"/>
          <w:left w:val="single" w:sz="6" w:space="0" w:color="D7DEE5"/>
          <w:bottom w:val="single" w:sz="6" w:space="0" w:color="D7DEE5"/>
          <w:right w:val="single" w:sz="6" w:space="0" w:color="D7DEE5"/>
          <w:insideH w:val="single" w:sz="6" w:space="0" w:color="D7DEE5"/>
          <w:insideV w:val="single" w:sz="6" w:space="0" w:color="D7DEE5"/>
        </w:tblBorders>
      </w:tblPr>
      <w:tblGrid>
        <w:gridCol w:w="10540"/>
      </w:tblGrid>
      <w:tr>
        <w:tc>
          <w:tcPr>
            <w:tcW w:type="dxa" w:w="10540"/>
            <w:vAlign w:val="top"/>
          </w:tcPr>
          <w:p>
            <w:r>
              <w:t>À l’atelier, chaque matin, Lina allume la presse avant l’équipe. La vapeur de son café se mêle à l’odeur d’huile froide ; la lumière pâle des néons met du gris sur le métal. À 7 h 30, la cadence est encore douce : contrôle des voyants, vérification des capteurs, regard vers la commande urgente qui doit partir avant midi.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0F2F1"/>
          </w:tcPr>
          <w:p>
            <w:pPr>
              <w:jc w:val="left"/>
            </w:pPr>
            <w:r>
              <w:rPr>
                <w:b/>
                <w:sz w:val="26"/>
              </w:rPr>
              <w:t>Élément déclencheur (Ce qui fait basculer l’histoire)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D7DEE5"/>
          <w:left w:val="single" w:sz="6" w:space="0" w:color="D7DEE5"/>
          <w:bottom w:val="single" w:sz="6" w:space="0" w:color="D7DEE5"/>
          <w:right w:val="single" w:sz="6" w:space="0" w:color="D7DEE5"/>
          <w:insideH w:val="single" w:sz="6" w:space="0" w:color="D7DEE5"/>
          <w:insideV w:val="single" w:sz="6" w:space="0" w:color="D7DEE5"/>
        </w:tblBorders>
      </w:tblPr>
      <w:tblGrid>
        <w:gridCol w:w="10540"/>
      </w:tblGrid>
      <w:tr>
        <w:tc>
          <w:tcPr>
            <w:tcW w:type="dxa" w:w="10540"/>
            <w:vAlign w:val="top"/>
          </w:tcPr>
          <w:p>
            <w:r>
              <w:t>Au moment d’initier le cycle de chauffe, un voyant rouge persiste. La procédure le veut éteint après l’auto-test ; aujourd’hui, il reste fixe, comme un refus. Continuer comme d’habitude n’est plus possible : la livraison dépend de ce feu qui ne passe pas au vert.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0F2F1"/>
          </w:tcPr>
          <w:p>
            <w:pPr>
              <w:jc w:val="left"/>
            </w:pPr>
            <w:r>
              <w:rPr>
                <w:b/>
                <w:sz w:val="26"/>
              </w:rPr>
              <w:t>Péripéties (3 à 5 étapes) — Obstacles, actions, indices, ressenti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D7DEE5"/>
          <w:left w:val="single" w:sz="6" w:space="0" w:color="D7DEE5"/>
          <w:bottom w:val="single" w:sz="6" w:space="0" w:color="D7DEE5"/>
          <w:right w:val="single" w:sz="6" w:space="0" w:color="D7DEE5"/>
          <w:insideH w:val="single" w:sz="6" w:space="0" w:color="D7DEE5"/>
          <w:insideV w:val="single" w:sz="6" w:space="0" w:color="D7DEE5"/>
        </w:tblBorders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FFF3E0"/>
          </w:tcPr>
          <w:p>
            <w:r>
              <w:rPr>
                <w:b/>
                <w:sz w:val="20"/>
              </w:rPr>
              <w:t>Étape</w:t>
            </w:r>
          </w:p>
        </w:tc>
        <w:tc>
          <w:tcPr>
            <w:tcW w:type="dxa" w:w="2635"/>
            <w:shd w:val="clear" w:color="auto" w:fill="FFF3E0"/>
          </w:tcPr>
          <w:p>
            <w:r>
              <w:rPr>
                <w:b/>
                <w:sz w:val="20"/>
              </w:rPr>
              <w:t>Actions / Obstacles / Aides</w:t>
            </w:r>
          </w:p>
        </w:tc>
        <w:tc>
          <w:tcPr>
            <w:tcW w:type="dxa" w:w="2635"/>
            <w:shd w:val="clear" w:color="auto" w:fill="FFF3E0"/>
          </w:tcPr>
          <w:p>
            <w:r>
              <w:rPr>
                <w:b/>
                <w:sz w:val="20"/>
              </w:rPr>
              <w:t>Indices (objets, mots, lieux…)</w:t>
            </w:r>
          </w:p>
        </w:tc>
        <w:tc>
          <w:tcPr>
            <w:tcW w:type="dxa" w:w="2635"/>
            <w:shd w:val="clear" w:color="auto" w:fill="FFF3E0"/>
          </w:tcPr>
          <w:p>
            <w:r>
              <w:rPr>
                <w:b/>
                <w:sz w:val="20"/>
              </w:rPr>
              <w:t>Ressenti (☐ joie ☐ peur ☐ surprise ☐ colère)</w:t>
            </w:r>
          </w:p>
        </w:tc>
      </w:tr>
      <w:tr>
        <w:tc>
          <w:tcPr>
            <w:tcW w:type="dxa" w:w="2635"/>
          </w:tcPr>
          <w:p>
            <w:r>
              <w:t>1</w:t>
            </w:r>
          </w:p>
        </w:tc>
        <w:tc>
          <w:tcPr>
            <w:tcW w:type="dxa" w:w="2635"/>
          </w:tcPr>
          <w:p>
            <w:r>
              <w:t>Consultation du manuel : l’ordre des vérifications a changé depuis la mise à jour. Obstacle : la page critique manque dans la version papier.</w:t>
            </w:r>
          </w:p>
        </w:tc>
        <w:tc>
          <w:tcPr>
            <w:tcW w:type="dxa" w:w="2635"/>
          </w:tcPr>
          <w:p>
            <w:r>
              <w:t>Post-it déchiré ; QR code vers la notice numérique.</w:t>
            </w:r>
          </w:p>
        </w:tc>
        <w:tc>
          <w:tcPr>
            <w:tcW w:type="dxa" w:w="2635"/>
          </w:tcPr>
          <w:p>
            <w:r>
              <w:t>Tension qui monte, calme de façade.</w:t>
            </w:r>
          </w:p>
        </w:tc>
      </w:tr>
      <w:tr>
        <w:tc>
          <w:tcPr>
            <w:tcW w:type="dxa" w:w="2635"/>
          </w:tcPr>
          <w:p>
            <w:r>
              <w:t>2</w:t>
            </w:r>
          </w:p>
        </w:tc>
        <w:tc>
          <w:tcPr>
            <w:tcW w:type="dxa" w:w="2635"/>
          </w:tcPr>
          <w:p>
            <w:r>
              <w:t>Test croisé avec la machine B : même symptôme ; inversion des capteurs pour lever le doute.</w:t>
            </w:r>
          </w:p>
        </w:tc>
        <w:tc>
          <w:tcPr>
            <w:tcW w:type="dxa" w:w="2635"/>
          </w:tcPr>
          <w:p>
            <w:r>
              <w:t>Bip identique ; température nominale stable.</w:t>
            </w:r>
          </w:p>
        </w:tc>
        <w:tc>
          <w:tcPr>
            <w:tcW w:type="dxa" w:w="2635"/>
          </w:tcPr>
          <w:p>
            <w:r>
              <w:t>Impatience, doute sur la procédure.</w:t>
            </w:r>
          </w:p>
        </w:tc>
      </w:tr>
      <w:tr>
        <w:tc>
          <w:tcPr>
            <w:tcW w:type="dxa" w:w="2635"/>
          </w:tcPr>
          <w:p>
            <w:r>
              <w:t>3</w:t>
            </w:r>
          </w:p>
        </w:tc>
        <w:tc>
          <w:tcPr>
            <w:tcW w:type="dxa" w:w="2635"/>
          </w:tcPr>
          <w:p>
            <w:r>
              <w:t>Appel à Marc (maintenance) : audit des connectiques et du relais ; contrôle visuel et mesure.</w:t>
            </w:r>
          </w:p>
        </w:tc>
        <w:tc>
          <w:tcPr>
            <w:tcW w:type="dxa" w:w="2635"/>
          </w:tcPr>
          <w:p>
            <w:r>
              <w:t>Micro-jeu dans une prise ; poussière métallique.</w:t>
            </w:r>
          </w:p>
        </w:tc>
        <w:tc>
          <w:tcPr>
            <w:tcW w:type="dxa" w:w="2635"/>
          </w:tcPr>
          <w:p>
            <w:r>
              <w:t>Concentration, dialogue court.</w:t>
            </w:r>
          </w:p>
        </w:tc>
      </w:tr>
      <w:tr>
        <w:tc>
          <w:tcPr>
            <w:tcW w:type="dxa" w:w="2635"/>
          </w:tcPr>
          <w:p>
            <w:r>
              <w:t>4</w:t>
            </w:r>
          </w:p>
        </w:tc>
        <w:tc>
          <w:tcPr>
            <w:tcW w:type="dxa" w:w="2635"/>
          </w:tcPr>
          <w:p>
            <w:r>
              <w:t>Nettoyage et remise en place ; redémarrage : le voyant clignote, puis redevient rouge ; piste firmware.</w:t>
            </w:r>
          </w:p>
        </w:tc>
        <w:tc>
          <w:tcPr>
            <w:tcW w:type="dxa" w:w="2635"/>
          </w:tcPr>
          <w:p>
            <w:r>
              <w:t>Historique : mise à jour automatique à 19 h 12 la veille.</w:t>
            </w:r>
          </w:p>
        </w:tc>
        <w:tc>
          <w:tcPr>
            <w:tcW w:type="dxa" w:w="2635"/>
          </w:tcPr>
          <w:p>
            <w:r>
              <w:t>Frustration, mais une piste apparaît.</w:t>
            </w:r>
          </w:p>
        </w:tc>
      </w:tr>
      <w:tr>
        <w:tc>
          <w:tcPr>
            <w:tcW w:type="dxa" w:w="2635"/>
          </w:tcPr>
          <w:p>
            <w:r>
              <w:t>5</w:t>
            </w:r>
          </w:p>
        </w:tc>
        <w:tc>
          <w:tcPr>
            <w:tcW w:type="dxa" w:w="2635"/>
          </w:tcPr>
          <w:p>
            <w:r>
              <w:t>Relecture de la nouvelle séquence : deux étapes inversées ; reprise pas à pas par Lina.</w:t>
            </w:r>
          </w:p>
        </w:tc>
        <w:tc>
          <w:tcPr>
            <w:tcW w:type="dxa" w:w="2635"/>
          </w:tcPr>
          <w:p>
            <w:r>
              <w:t>Note en marge : « Étape 2 → après purge ».</w:t>
            </w:r>
          </w:p>
        </w:tc>
        <w:tc>
          <w:tcPr>
            <w:tcW w:type="dxa" w:w="2635"/>
          </w:tcPr>
          <w:p>
            <w:r>
              <w:t>Calme revenu, concentration totale.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0F2F1"/>
          </w:tcPr>
          <w:p>
            <w:pPr>
              <w:jc w:val="left"/>
            </w:pPr>
            <w:r>
              <w:rPr>
                <w:b/>
                <w:sz w:val="26"/>
              </w:rPr>
              <w:t>Dénouement (Comment le problème est-il résolu ?)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D7DEE5"/>
          <w:left w:val="single" w:sz="6" w:space="0" w:color="D7DEE5"/>
          <w:bottom w:val="single" w:sz="6" w:space="0" w:color="D7DEE5"/>
          <w:right w:val="single" w:sz="6" w:space="0" w:color="D7DEE5"/>
          <w:insideH w:val="single" w:sz="6" w:space="0" w:color="D7DEE5"/>
          <w:insideV w:val="single" w:sz="6" w:space="0" w:color="D7DEE5"/>
        </w:tblBorders>
      </w:tblPr>
      <w:tblGrid>
        <w:gridCol w:w="10540"/>
      </w:tblGrid>
      <w:tr>
        <w:tc>
          <w:tcPr>
            <w:tcW w:type="dxa" w:w="10540"/>
            <w:vAlign w:val="top"/>
          </w:tcPr>
          <w:p>
            <w:r>
              <w:t>En respectant l’ordre corrigé, Lina relance l’auto-test : le voyant clignote, puis passe au vert. La chauffe démarre sans alerte. La cause tenait à une inversion subtile introduite par la mise à jour ; la solution tenait à une relecture attentive et une exécution patiente.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0F2F1"/>
          </w:tcPr>
          <w:p>
            <w:pPr>
              <w:jc w:val="left"/>
            </w:pPr>
            <w:r>
              <w:rPr>
                <w:b/>
                <w:sz w:val="26"/>
              </w:rPr>
              <w:t>Situation finale (Ce qui a changé / morale / nouvel équilibre)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D7DEE5"/>
          <w:left w:val="single" w:sz="6" w:space="0" w:color="D7DEE5"/>
          <w:bottom w:val="single" w:sz="6" w:space="0" w:color="D7DEE5"/>
          <w:right w:val="single" w:sz="6" w:space="0" w:color="D7DEE5"/>
          <w:insideH w:val="single" w:sz="6" w:space="0" w:color="D7DEE5"/>
          <w:insideV w:val="single" w:sz="6" w:space="0" w:color="D7DEE5"/>
        </w:tblBorders>
      </w:tblPr>
      <w:tblGrid>
        <w:gridCol w:w="10540"/>
      </w:tblGrid>
      <w:tr>
        <w:tc>
          <w:tcPr>
            <w:tcW w:type="dxa" w:w="10540"/>
            <w:vAlign w:val="top"/>
          </w:tcPr>
          <w:p>
            <w:r>
              <w:t>À 10 h 05, la pièce témoin sort conforme. Le café, cette fois, est encore tiède. Le carnet de bord note l’anomalie, la procédure reçoit un correctif et l’équipe adopte un réflexe simple : lire d’abord, agir ensuite. Le jour peut commencer.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0F2F1"/>
          </w:tcPr>
          <w:p>
            <w:pPr>
              <w:jc w:val="left"/>
            </w:pPr>
            <w:r>
              <w:rPr>
                <w:b/>
                <w:sz w:val="26"/>
              </w:rPr>
              <w:t>Fil du récit (ligne du temps) — coche ce qui existe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D7DEE5"/>
          <w:left w:val="single" w:sz="6" w:space="0" w:color="D7DEE5"/>
          <w:bottom w:val="single" w:sz="6" w:space="0" w:color="D7DEE5"/>
          <w:right w:val="single" w:sz="6" w:space="0" w:color="D7DEE5"/>
          <w:insideH w:val="single" w:sz="6" w:space="0" w:color="D7DEE5"/>
          <w:insideV w:val="single" w:sz="6" w:space="0" w:color="D7DEE5"/>
        </w:tblBorders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</w:tcPr>
          <w:p>
            <w:pPr>
              <w:jc w:val="center"/>
            </w:pPr>
            <w:r>
              <w:t>☑ Situation initiale</w:t>
            </w:r>
          </w:p>
        </w:tc>
        <w:tc>
          <w:tcPr>
            <w:tcW w:type="dxa" w:w="2108"/>
          </w:tcPr>
          <w:p>
            <w:pPr>
              <w:jc w:val="center"/>
            </w:pPr>
            <w:r>
              <w:t>☑ Élément déclencheur</w:t>
            </w:r>
          </w:p>
        </w:tc>
        <w:tc>
          <w:tcPr>
            <w:tcW w:type="dxa" w:w="2108"/>
          </w:tcPr>
          <w:p>
            <w:pPr>
              <w:jc w:val="center"/>
            </w:pPr>
            <w:r>
              <w:t>☑ Péripéties</w:t>
            </w:r>
          </w:p>
        </w:tc>
        <w:tc>
          <w:tcPr>
            <w:tcW w:type="dxa" w:w="2108"/>
          </w:tcPr>
          <w:p>
            <w:pPr>
              <w:jc w:val="center"/>
            </w:pPr>
            <w:r>
              <w:t>☑ Dénouement</w:t>
            </w:r>
          </w:p>
        </w:tc>
        <w:tc>
          <w:tcPr>
            <w:tcW w:type="dxa" w:w="2108"/>
          </w:tcPr>
          <w:p>
            <w:pPr>
              <w:jc w:val="center"/>
            </w:pPr>
            <w:r>
              <w:t>☑ Situation finale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0F2F1"/>
          </w:tcPr>
          <w:p>
            <w:pPr>
              <w:jc w:val="left"/>
            </w:pPr>
            <w:r>
              <w:rPr>
                <w:b/>
                <w:sz w:val="26"/>
              </w:rPr>
              <w:t>Choix narratologiques (à cocher)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D7DEE5"/>
          <w:left w:val="single" w:sz="6" w:space="0" w:color="D7DEE5"/>
          <w:bottom w:val="single" w:sz="6" w:space="0" w:color="D7DEE5"/>
          <w:right w:val="single" w:sz="6" w:space="0" w:color="D7DEE5"/>
          <w:insideH w:val="single" w:sz="6" w:space="0" w:color="D7DEE5"/>
          <w:insideV w:val="single" w:sz="6" w:space="0" w:color="D7DEE5"/>
        </w:tblBorders>
      </w:tblPr>
      <w:tblGrid>
        <w:gridCol w:w="3513"/>
        <w:gridCol w:w="3513"/>
        <w:gridCol w:w="3513"/>
      </w:tblGrid>
      <w:tr>
        <w:tc>
          <w:tcPr>
            <w:tcW w:type="dxa" w:w="3513"/>
          </w:tcPr>
          <w:p>
            <w:r>
              <w:t>Narrateur :</w:t>
            </w:r>
          </w:p>
        </w:tc>
        <w:tc>
          <w:tcPr>
            <w:tcW w:type="dxa" w:w="3513"/>
          </w:tcPr>
          <w:p>
            <w:r>
              <w:t>☐ interne (je)</w:t>
            </w:r>
          </w:p>
        </w:tc>
        <w:tc>
          <w:tcPr>
            <w:tcW w:type="dxa" w:w="3513"/>
          </w:tcPr>
          <w:p>
            <w:r>
              <w:t>☑ externe (il/elle)</w:t>
            </w:r>
          </w:p>
        </w:tc>
      </w:tr>
      <w:tr>
        <w:tc>
          <w:tcPr>
            <w:tcW w:type="dxa" w:w="3513"/>
          </w:tcPr>
          <w:p>
            <w:r>
              <w:t>Temps :</w:t>
            </w:r>
          </w:p>
        </w:tc>
        <w:tc>
          <w:tcPr>
            <w:tcW w:type="dxa" w:w="3513"/>
          </w:tcPr>
          <w:p>
            <w:r>
              <w:t>☐ présent</w:t>
            </w:r>
          </w:p>
        </w:tc>
        <w:tc>
          <w:tcPr>
            <w:tcW w:type="dxa" w:w="3513"/>
          </w:tcPr>
          <w:p>
            <w:r>
              <w:t>☑ passé simple / imparfait</w:t>
            </w:r>
          </w:p>
        </w:tc>
      </w:tr>
      <w:tr>
        <w:tc>
          <w:tcPr>
            <w:tcW w:type="dxa" w:w="3513"/>
          </w:tcPr>
          <w:p>
            <w:r>
              <w:t>Type de récit :</w:t>
            </w:r>
          </w:p>
        </w:tc>
        <w:tc>
          <w:tcPr>
            <w:tcW w:type="dxa" w:w="3513"/>
          </w:tcPr>
          <w:p>
            <w:r>
              <w:t>☑ réaliste ☐ aventure ☐ policier</w:t>
            </w:r>
          </w:p>
        </w:tc>
        <w:tc>
          <w:tcPr>
            <w:tcW w:type="dxa" w:w="3513"/>
          </w:tcPr>
          <w:p>
            <w:r>
              <w:t>☐ fantastique ☐ merveilleux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37474F"/>
        <w:sz w:val="18"/>
      </w:rPr>
      <w:t>lecoursgratuit.com — Cas « Le voyant rouge » — Utilisation libre en classe/maison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