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680"/>
        <w:gridCol w:w="4986"/>
      </w:tblGrid>
      <w:tr>
        <w:tc>
          <w:tcPr>
            <w:tcW w:type="dxa" w:w="4986"/>
            <w:shd w:val="clear" w:color="auto" w:fill="0F766E"/>
          </w:tcPr>
          <w:p/>
        </w:tc>
        <w:tc>
          <w:tcPr>
            <w:tcW w:type="dxa" w:w="4986"/>
          </w:tcPr>
          <w:p>
            <w:pPr>
              <w:jc w:val="left"/>
            </w:pPr>
            <w:r>
              <w:rPr>
                <w:b/>
                <w:color w:val="0F766E"/>
                <w:sz w:val="56"/>
              </w:rPr>
              <w:t>RAPPORT MORAL</w:t>
              <w:br/>
            </w:r>
          </w:p>
          <w:p>
            <w:r>
              <w:rPr>
                <w:sz w:val="32"/>
              </w:rPr>
              <w:t>Association Passerelles Quartier Nord</w:t>
            </w:r>
          </w:p>
          <w:p>
            <w:r>
              <w:rPr>
                <w:color w:val="505050"/>
                <w:sz w:val="22"/>
              </w:rPr>
              <w:t>Exercice : 2025  •  Assemblée Générale du 15 décembre 2025</w:t>
            </w:r>
          </w:p>
          <w:p>
            <w:r>
              <w:rPr>
                <w:color w:val="6E6E6E"/>
                <w:sz w:val="18"/>
              </w:rPr>
              <w:t>Adresse : 12, rue des Tisserands, 13014 Marseille  |  RNA/SIREN : W131234567 / 532 123 987  |  Préfecture : Marseille</w:t>
            </w:r>
          </w:p>
        </w:tc>
      </w:tr>
    </w:tbl>
    <w:p>
      <w:r>
        <w:br w:type="page"/>
      </w:r>
    </w:p>
    <w:p>
      <w:pPr>
        <w:pStyle w:val="Heading1"/>
      </w:pPr>
      <w:r>
        <w:rPr>
          <w:color w:val="0F766E"/>
        </w:rPr>
        <w:t>1. Mot d’ouverture</w:t>
      </w:r>
    </w:p>
    <w:p>
      <w:r>
        <w:t>L’année 2025 a été une année de consolidation lucide. Nous avons recentré nos moyens sur ce qui change vraiment des trajectoires : l’accueil de proximité, l’initiation numérique et l’orientation vers les bons relais. Les équipes — salariées et bénévoles — ont tenu la présence hebdomadaire, sécurisé trois partenariats durables et mieux documenté l’impact. Tout n’est pas réglé, mais la ligne tient : servir au plus près, sans emphase.</w:t>
      </w:r>
    </w:p>
    <w:p>
      <w:pPr>
        <w:pStyle w:val="Heading1"/>
      </w:pPr>
      <w:r>
        <w:rPr>
          <w:color w:val="0F766E"/>
        </w:rPr>
        <w:t>2. Rappel de l’objet social et des statuts</w:t>
      </w:r>
    </w:p>
    <w:p>
      <w:r>
        <w:t>Objet : favoriser l’accès aux droits et à l’autonomie des habitants des quartiers Nord de Marseille.</w:t>
        <w:br/>
        <w:t>Champ d’intervention : accueil social de première ligne, ateliers d’initiation numérique, médiation administrative, orientation vers les structures partenaires (emploi, santé, logement).</w:t>
        <w:br/>
        <w:t>Valeurs : proximité, sobriété, redevabilité, exigence envers soi-même et loyauté envers les publics.</w:t>
      </w:r>
    </w:p>
    <w:p>
      <w:pPr>
        <w:pStyle w:val="Heading1"/>
      </w:pPr>
      <w:r>
        <w:rPr>
          <w:color w:val="0F766E"/>
        </w:rPr>
        <w:t>3. Gouvernance et vie statutaire</w:t>
      </w:r>
    </w:p>
    <w:p>
      <w:r>
        <w:t>Bureau et Conseil d’administration :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Fonction</w:t>
            </w:r>
          </w:p>
        </w:tc>
        <w:tc>
          <w:tcPr>
            <w:tcW w:type="dxa" w:w="2493"/>
          </w:tcPr>
          <w:p>
            <w:r>
              <w:t>Nom</w:t>
            </w:r>
          </w:p>
        </w:tc>
        <w:tc>
          <w:tcPr>
            <w:tcW w:type="dxa" w:w="2493"/>
          </w:tcPr>
          <w:p>
            <w:r>
              <w:t>Prénom</w:t>
            </w:r>
          </w:p>
        </w:tc>
        <w:tc>
          <w:tcPr>
            <w:tcW w:type="dxa" w:w="2493"/>
          </w:tcPr>
          <w:p>
            <w:r>
              <w:t>Signature</w:t>
            </w:r>
          </w:p>
        </w:tc>
      </w:tr>
      <w:tr>
        <w:tc>
          <w:tcPr>
            <w:tcW w:type="dxa" w:w="2493"/>
          </w:tcPr>
          <w:p>
            <w:r>
              <w:t>Président(e)</w:t>
            </w:r>
          </w:p>
        </w:tc>
        <w:tc>
          <w:tcPr>
            <w:tcW w:type="dxa" w:w="2493"/>
          </w:tcPr>
          <w:p>
            <w:r>
              <w:t>Martin</w:t>
            </w:r>
          </w:p>
        </w:tc>
        <w:tc>
          <w:tcPr>
            <w:tcW w:type="dxa" w:w="2493"/>
          </w:tcPr>
          <w:p>
            <w:r>
              <w:t>Jean</w:t>
            </w:r>
          </w:p>
        </w:tc>
        <w:tc>
          <w:tcPr>
            <w:tcW w:type="dxa" w:w="2493"/>
          </w:tcPr>
          <w:p>
            <w:r>
              <w:t>□</w:t>
            </w:r>
          </w:p>
        </w:tc>
      </w:tr>
      <w:tr>
        <w:tc>
          <w:tcPr>
            <w:tcW w:type="dxa" w:w="2493"/>
          </w:tcPr>
          <w:p>
            <w:r>
              <w:t>Trésorière</w:t>
            </w:r>
          </w:p>
        </w:tc>
        <w:tc>
          <w:tcPr>
            <w:tcW w:type="dxa" w:w="2493"/>
          </w:tcPr>
          <w:p>
            <w:r>
              <w:t>El Idrissi</w:t>
            </w:r>
          </w:p>
        </w:tc>
        <w:tc>
          <w:tcPr>
            <w:tcW w:type="dxa" w:w="2493"/>
          </w:tcPr>
          <w:p>
            <w:r>
              <w:t>Salma</w:t>
            </w:r>
          </w:p>
        </w:tc>
        <w:tc>
          <w:tcPr>
            <w:tcW w:type="dxa" w:w="2493"/>
          </w:tcPr>
          <w:p>
            <w:r>
              <w:t>□</w:t>
            </w:r>
          </w:p>
        </w:tc>
      </w:tr>
      <w:tr>
        <w:tc>
          <w:tcPr>
            <w:tcW w:type="dxa" w:w="2493"/>
          </w:tcPr>
          <w:p>
            <w:r>
              <w:t>Secrétaire</w:t>
            </w:r>
          </w:p>
        </w:tc>
        <w:tc>
          <w:tcPr>
            <w:tcW w:type="dxa" w:w="2493"/>
          </w:tcPr>
          <w:p>
            <w:r>
              <w:t>Bernard</w:t>
            </w:r>
          </w:p>
        </w:tc>
        <w:tc>
          <w:tcPr>
            <w:tcW w:type="dxa" w:w="2493"/>
          </w:tcPr>
          <w:p>
            <w:r>
              <w:t>Hugo</w:t>
            </w:r>
          </w:p>
        </w:tc>
        <w:tc>
          <w:tcPr>
            <w:tcW w:type="dxa" w:w="2493"/>
          </w:tcPr>
          <w:p>
            <w:r>
              <w:t>□</w:t>
            </w:r>
          </w:p>
        </w:tc>
      </w:tr>
      <w:tr>
        <w:tc>
          <w:tcPr>
            <w:tcW w:type="dxa" w:w="2493"/>
          </w:tcPr>
          <w:p>
            <w:r>
              <w:t>Administratrice déléguée</w:t>
            </w:r>
          </w:p>
        </w:tc>
        <w:tc>
          <w:tcPr>
            <w:tcW w:type="dxa" w:w="2493"/>
          </w:tcPr>
          <w:p>
            <w:r>
              <w:t>Rahmani</w:t>
            </w:r>
          </w:p>
        </w:tc>
        <w:tc>
          <w:tcPr>
            <w:tcW w:type="dxa" w:w="2493"/>
          </w:tcPr>
          <w:p>
            <w:r>
              <w:t>Nadia</w:t>
            </w:r>
          </w:p>
        </w:tc>
        <w:tc>
          <w:tcPr>
            <w:tcW w:type="dxa" w:w="2493"/>
          </w:tcPr>
          <w:p>
            <w:r>
              <w:t>□</w:t>
            </w:r>
          </w:p>
        </w:tc>
      </w:tr>
    </w:tbl>
    <w:p>
      <w:r>
        <w:t>Réunions tenues : 7  •  Taux de participation : 86 %  •  Décisions marquantes : priorités recentrées, refonte du site, tournée mobile.</w:t>
      </w:r>
    </w:p>
    <w:p>
      <w:pPr>
        <w:pStyle w:val="Heading1"/>
      </w:pPr>
      <w:r>
        <w:rPr>
          <w:color w:val="0F766E"/>
        </w:rPr>
        <w:t>4. Vie associative et adhésions</w:t>
      </w:r>
    </w:p>
    <w:p>
      <w:r>
        <w:t>Adhérents au 31/12 : 382</w:t>
        <w:br/>
        <w:t>Nouveaux membres : 119</w:t>
        <w:br/>
        <w:t>Bénévoles actifs : 47</w:t>
        <w:br/>
        <w:t>Heures de bénévolat estimées : 2 940 h</w:t>
      </w:r>
    </w:p>
    <w:p>
      <w:pPr>
        <w:pStyle w:val="Heading1"/>
      </w:pPr>
      <w:r>
        <w:rPr>
          <w:color w:val="0F766E"/>
        </w:rPr>
        <w:t>5. Faits marquants de l’année</w:t>
      </w:r>
    </w:p>
    <w:p>
      <w:r>
        <w:t>Sélection de 4 faits marquants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Thème/Projet</w:t>
            </w:r>
          </w:p>
        </w:tc>
        <w:tc>
          <w:tcPr>
            <w:tcW w:type="dxa" w:w="2493"/>
          </w:tcPr>
          <w:p>
            <w:r>
              <w:t>Objectif</w:t>
            </w:r>
          </w:p>
        </w:tc>
        <w:tc>
          <w:tcPr>
            <w:tcW w:type="dxa" w:w="2493"/>
          </w:tcPr>
          <w:p>
            <w:r>
              <w:t>Réalisations</w:t>
            </w:r>
          </w:p>
        </w:tc>
        <w:tc>
          <w:tcPr>
            <w:tcW w:type="dxa" w:w="2493"/>
          </w:tcPr>
          <w:p>
            <w:r>
              <w:t>Impact (indicateur)</w:t>
            </w:r>
          </w:p>
        </w:tc>
      </w:tr>
      <w:tr>
        <w:tc>
          <w:tcPr>
            <w:tcW w:type="dxa" w:w="2493"/>
          </w:tcPr>
          <w:p>
            <w:r>
              <w:t>Premiers Pas Numériques</w:t>
            </w:r>
          </w:p>
        </w:tc>
        <w:tc>
          <w:tcPr>
            <w:tcW w:type="dxa" w:w="2493"/>
          </w:tcPr>
          <w:p>
            <w:r>
              <w:t>200 parcours</w:t>
            </w:r>
          </w:p>
        </w:tc>
        <w:tc>
          <w:tcPr>
            <w:tcW w:type="dxa" w:w="2493"/>
          </w:tcPr>
          <w:p>
            <w:r>
              <w:t>186 parcours menés</w:t>
            </w:r>
          </w:p>
        </w:tc>
        <w:tc>
          <w:tcPr>
            <w:tcW w:type="dxa" w:w="2493"/>
          </w:tcPr>
          <w:p>
            <w:r>
              <w:t>71 % d’usage régulier à 3 mois</w:t>
            </w:r>
          </w:p>
        </w:tc>
      </w:tr>
      <w:tr>
        <w:tc>
          <w:tcPr>
            <w:tcW w:type="dxa" w:w="2493"/>
          </w:tcPr>
          <w:p>
            <w:r>
              <w:t>Accueil &amp; Orientation</w:t>
            </w:r>
          </w:p>
        </w:tc>
        <w:tc>
          <w:tcPr>
            <w:tcW w:type="dxa" w:w="2493"/>
          </w:tcPr>
          <w:p>
            <w:r>
              <w:t>600 RDV tenus</w:t>
            </w:r>
          </w:p>
        </w:tc>
        <w:tc>
          <w:tcPr>
            <w:tcW w:type="dxa" w:w="2493"/>
          </w:tcPr>
          <w:p>
            <w:r>
              <w:t>582 RDV tenus</w:t>
            </w:r>
          </w:p>
        </w:tc>
        <w:tc>
          <w:tcPr>
            <w:tcW w:type="dxa" w:w="2493"/>
          </w:tcPr>
          <w:p>
            <w:r>
              <w:t>92 % de demandes traitées &lt; 10 jours</w:t>
            </w:r>
          </w:p>
        </w:tc>
      </w:tr>
      <w:tr>
        <w:tc>
          <w:tcPr>
            <w:tcW w:type="dxa" w:w="2493"/>
          </w:tcPr>
          <w:p>
            <w:r>
              <w:t>Tournée mobile</w:t>
            </w:r>
          </w:p>
        </w:tc>
        <w:tc>
          <w:tcPr>
            <w:tcW w:type="dxa" w:w="2493"/>
          </w:tcPr>
          <w:p>
            <w:r>
              <w:t>10 sites couverts</w:t>
            </w:r>
          </w:p>
        </w:tc>
        <w:tc>
          <w:tcPr>
            <w:tcW w:type="dxa" w:w="2493"/>
          </w:tcPr>
          <w:p>
            <w:r>
              <w:t>8 sites couverts</w:t>
            </w:r>
          </w:p>
        </w:tc>
        <w:tc>
          <w:tcPr>
            <w:tcW w:type="dxa" w:w="2493"/>
          </w:tcPr>
          <w:p>
            <w:r>
              <w:t>156 personnes touchées hors les murs</w:t>
            </w:r>
          </w:p>
        </w:tc>
      </w:tr>
      <w:tr>
        <w:tc>
          <w:tcPr>
            <w:tcW w:type="dxa" w:w="2493"/>
          </w:tcPr>
          <w:p>
            <w:r>
              <w:t>Formation bénévoles</w:t>
            </w:r>
          </w:p>
        </w:tc>
        <w:tc>
          <w:tcPr>
            <w:tcW w:type="dxa" w:w="2493"/>
          </w:tcPr>
          <w:p>
            <w:r>
              <w:t>30 formés niv. 1</w:t>
            </w:r>
          </w:p>
        </w:tc>
        <w:tc>
          <w:tcPr>
            <w:tcW w:type="dxa" w:w="2493"/>
          </w:tcPr>
          <w:p>
            <w:r>
              <w:t>27 formés</w:t>
            </w:r>
          </w:p>
        </w:tc>
        <w:tc>
          <w:tcPr>
            <w:tcW w:type="dxa" w:w="2493"/>
          </w:tcPr>
          <w:p>
            <w:r>
              <w:t>Rétention 78 % à 6 mois</w:t>
            </w:r>
          </w:p>
        </w:tc>
      </w:tr>
    </w:tbl>
    <w:p>
      <w:pPr>
        <w:pStyle w:val="Heading1"/>
      </w:pPr>
      <w:r>
        <w:rPr>
          <w:color w:val="0F766E"/>
        </w:rPr>
        <w:t>6. Actions menées (programme)</w:t>
      </w:r>
    </w:p>
    <w:p>
      <w:r>
        <w:t xml:space="preserve">Programme 2025 : trois axes — 1) Accueil &amp; orientation (permanences 4 j/semaine) ; 2) Premiers Pas Numériques (parcours d’initiation en 6 séances) ; 3) Médiation administrative (rendez-vous aidés sur démarches clés). </w:t>
        <w:br/>
        <w:t xml:space="preserve">Publics : habitants des 13e/14e arrondissements, jeunes 16–25 ans, seniors isolés, familles en situation de non-recours. </w:t>
        <w:br/>
        <w:t>Événements : portes ouvertes (avril), tournée mobile en résidence sociale (juin), forum partenaires (octobre).</w:t>
      </w:r>
    </w:p>
    <w:p>
      <w:pPr>
        <w:pStyle w:val="Heading1"/>
      </w:pPr>
      <w:r>
        <w:rPr>
          <w:color w:val="0F766E"/>
        </w:rPr>
        <w:t>7. Partenariats, réseau et rayonnement</w:t>
      </w:r>
    </w:p>
    <w:p>
      <w:r>
        <w:t xml:space="preserve">Institutionnels : Ville de Marseille, Département 13, CAF. </w:t>
        <w:br/>
        <w:t xml:space="preserve">Privés : Fondation Main dans la Main, Solaria (mécénat matériel). </w:t>
        <w:br/>
        <w:t xml:space="preserve">Réseaux : Fédération des centres sociaux, Hub territorial d’inclusion numérique. </w:t>
        <w:br/>
        <w:t>Communication : refonte du site, France Bleu Provence (2 passages), trois articles presse locale.</w:t>
      </w:r>
    </w:p>
    <w:p>
      <w:pPr>
        <w:pStyle w:val="Heading1"/>
      </w:pPr>
      <w:r>
        <w:rPr>
          <w:color w:val="0F766E"/>
        </w:rPr>
        <w:t>8. Qualité, éthique et conformité</w:t>
      </w:r>
    </w:p>
    <w:p>
      <w:r>
        <w:t>Charte éthique à jour ; registre RGPD opérationnel (registre des traitements et base légale par cas). Deux signalements reçus, traités dans les délais (médiation + rappel du cadre). Point de vigilance : formaliser un circuit d’alerte interne plus simple pour les bénévoles.</w:t>
      </w:r>
    </w:p>
    <w:p>
      <w:pPr>
        <w:pStyle w:val="Heading1"/>
      </w:pPr>
      <w:r>
        <w:rPr>
          <w:color w:val="0F766E"/>
        </w:rPr>
        <w:t>9. Ressources (synthèse non financière)</w:t>
      </w:r>
    </w:p>
    <w:p>
      <w:r>
        <w:t xml:space="preserve">Ressources humaines : 3 ETP (coordination, médiation, administratif) ; 47 bénévoles actifs. </w:t>
        <w:br/>
        <w:t xml:space="preserve">Moyens : local partagé 120 m², 12 postes informatiques, borne d’accueil ; tournée mobile avec véhicule léger. </w:t>
        <w:br/>
        <w:t>Soutiens : convention pluriannuelle Ville, mécénat matériel Solaria, mise à disposition d’une salle par la MJC Flammarion.</w:t>
      </w:r>
    </w:p>
    <w:p>
      <w:pPr>
        <w:pStyle w:val="Heading1"/>
      </w:pPr>
      <w:r>
        <w:rPr>
          <w:color w:val="0F766E"/>
        </w:rPr>
        <w:t>10. Difficultés rencontrées et solutions</w:t>
      </w:r>
    </w:p>
    <w:p>
      <w:r>
        <w:t xml:space="preserve">Baisse d’un financement historique dès juillet : plan d’économies sur charges non programmatiques (–12 %), priorisation des actions à impact, renégociation de deux conventions. </w:t>
        <w:br/>
        <w:t xml:space="preserve">Turnover bénévole au 2e trimestre : parcours d’accueil renforcé et binômes systématiques. </w:t>
        <w:br/>
        <w:t>Enseignements : documenter davantage les temps utiles, mieux étaler la charge d’animation, anticiper les pics de demandes.</w:t>
      </w:r>
    </w:p>
    <w:p>
      <w:pPr>
        <w:pStyle w:val="Heading1"/>
      </w:pPr>
      <w:r>
        <w:rPr>
          <w:color w:val="0F766E"/>
        </w:rPr>
        <w:t>11. Orientations et priorités (année N+1)</w:t>
      </w:r>
    </w:p>
    <w:p>
      <w:r>
        <w:t xml:space="preserve">1) Stabiliser l’accueil de jour — KPI : 85 % de créneaux tenus/semaine (référente : H. Bernard). </w:t>
        <w:br/>
        <w:t xml:space="preserve">2) Certifier le parcours bénévole niveau 1 — KPI : 70 % de bénévoles formés (référente : S. El Idrissi). </w:t>
        <w:br/>
        <w:t>3) Déployer deux antennes mobiles — KPI : 100 bénéficiaires suivis/antenne (référente : N. Rahmani).</w:t>
      </w:r>
    </w:p>
    <w:p>
      <w:pPr>
        <w:pStyle w:val="Heading1"/>
      </w:pPr>
      <w:r>
        <w:rPr>
          <w:color w:val="0F766E"/>
        </w:rPr>
        <w:t>12. Motions soumises à l’Assemblée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Intitulé de la motion</w:t>
            </w:r>
          </w:p>
        </w:tc>
        <w:tc>
          <w:tcPr>
            <w:tcW w:type="dxa" w:w="2493"/>
          </w:tcPr>
          <w:p>
            <w:r>
              <w:t>Objet</w:t>
            </w:r>
          </w:p>
        </w:tc>
        <w:tc>
          <w:tcPr>
            <w:tcW w:type="dxa" w:w="2493"/>
          </w:tcPr>
          <w:p>
            <w:r>
              <w:t>Avis du CA</w:t>
            </w:r>
          </w:p>
        </w:tc>
        <w:tc>
          <w:tcPr>
            <w:tcW w:type="dxa" w:w="2493"/>
          </w:tcPr>
          <w:p>
            <w:r>
              <w:t>Résultat du vote</w:t>
            </w:r>
          </w:p>
        </w:tc>
      </w:tr>
      <w:tr>
        <w:tc>
          <w:tcPr>
            <w:tcW w:type="dxa" w:w="2493"/>
          </w:tcPr>
          <w:p>
            <w:r>
              <w:t>Adoption d’une grille d’adhésion solidaire</w:t>
            </w:r>
          </w:p>
        </w:tc>
        <w:tc>
          <w:tcPr>
            <w:tcW w:type="dxa" w:w="2493"/>
          </w:tcPr>
          <w:p>
            <w:r>
              <w:t>Adapter le montant d’adhésion selon le quotient familial</w:t>
            </w:r>
          </w:p>
        </w:tc>
        <w:tc>
          <w:tcPr>
            <w:tcW w:type="dxa" w:w="2493"/>
          </w:tcPr>
          <w:p>
            <w:r>
              <w:t>Favorable</w:t>
            </w:r>
          </w:p>
        </w:tc>
        <w:tc>
          <w:tcPr>
            <w:tcW w:type="dxa" w:w="2493"/>
          </w:tcPr>
          <w:p>
            <w:r>
              <w:t>Adoptée</w:t>
            </w:r>
          </w:p>
        </w:tc>
      </w:tr>
      <w:tr>
        <w:tc>
          <w:tcPr>
            <w:tcW w:type="dxa" w:w="2493"/>
          </w:tcPr>
          <w:p>
            <w:r>
              <w:t>Déploiement d’une antenne mobile supplémentaire</w:t>
            </w:r>
          </w:p>
        </w:tc>
        <w:tc>
          <w:tcPr>
            <w:tcW w:type="dxa" w:w="2493"/>
          </w:tcPr>
          <w:p>
            <w:r>
              <w:t>Étendre la tournée dans deux quartiers limitrophes</w:t>
            </w:r>
          </w:p>
        </w:tc>
        <w:tc>
          <w:tcPr>
            <w:tcW w:type="dxa" w:w="2493"/>
          </w:tcPr>
          <w:p>
            <w:r>
              <w:t>Favorable</w:t>
            </w:r>
          </w:p>
        </w:tc>
        <w:tc>
          <w:tcPr>
            <w:tcW w:type="dxa" w:w="2493"/>
          </w:tcPr>
          <w:p>
            <w:r>
              <w:t>Adoptée</w:t>
            </w:r>
          </w:p>
        </w:tc>
      </w:tr>
    </w:tbl>
    <w:p>
      <w:pPr>
        <w:pStyle w:val="Heading1"/>
      </w:pPr>
      <w:r>
        <w:rPr>
          <w:color w:val="0F766E"/>
        </w:rPr>
        <w:t>13. Remerciements</w:t>
      </w:r>
    </w:p>
    <w:p>
      <w:r>
        <w:t>Merci aux habitants qui nous font confiance, aux bénévoles pour leur constance, aux partenaires publics et privés qui sécurisent la continuité de parcours, et à l’équipe salariée qui tient la présence.</w:t>
      </w:r>
    </w:p>
    <w:p>
      <w:pPr>
        <w:pStyle w:val="Heading1"/>
      </w:pPr>
      <w:r>
        <w:rPr>
          <w:color w:val="0F766E"/>
        </w:rPr>
        <w:t>14. Signatures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Fait à : Marseille</w:t>
            </w:r>
          </w:p>
        </w:tc>
        <w:tc>
          <w:tcPr>
            <w:tcW w:type="dxa" w:w="4986"/>
          </w:tcPr>
          <w:p>
            <w:r>
              <w:t>Le : 15 décembre 2025</w:t>
            </w:r>
          </w:p>
        </w:tc>
      </w:tr>
      <w:tr>
        <w:tc>
          <w:tcPr>
            <w:tcW w:type="dxa" w:w="4986"/>
          </w:tcPr>
          <w:p>
            <w:r>
              <w:t>Le/La Président(e) :</w:t>
              <w:br/>
              <w:t>Jean Martin</w:t>
            </w:r>
          </w:p>
        </w:tc>
        <w:tc>
          <w:tcPr>
            <w:tcW w:type="dxa" w:w="4986"/>
          </w:tcPr>
          <w:p>
            <w:r>
              <w:t>Le/La Secrétaire :</w:t>
              <w:br/>
              <w:t>Hugo Bernard</w:t>
            </w:r>
          </w:p>
        </w:tc>
      </w:tr>
    </w:tbl>
    <w:p>
      <w:pPr>
        <w:pStyle w:val="Heading1"/>
      </w:pPr>
      <w:r>
        <w:rPr>
          <w:color w:val="0F766E"/>
        </w:rPr>
        <w:t>15. Annexes (facultatif)</w:t>
      </w:r>
    </w:p>
    <w:p>
      <w:r>
        <w:t>• Supports de communication  • Extraits de presse  • Enquêtes de satisfaction  • Statuts à jour (si nécessaire)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Modèle design pré-rempli —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5953"/>
      <w:gridCol w:w="5953"/>
    </w:tblGrid>
    <w:tr>
      <w:tc>
        <w:tcPr>
          <w:tcW w:type="dxa" w:w="5953"/>
          <w:shd w:val="clear" w:color="auto" w:fill="0F766E"/>
        </w:tcPr>
        <w:p/>
      </w:tc>
      <w:tc>
        <w:tcPr>
          <w:tcW w:type="dxa" w:w="5953"/>
        </w:tcPr>
        <w:p>
          <w:pPr>
            <w:jc w:val="right"/>
          </w:pPr>
          <w:r>
            <w:rPr>
              <w:color w:val="5A5A5A"/>
              <w:sz w:val="18"/>
            </w:rPr>
            <w:t>RAPPORT MORAL — Association Passerelles Quartier Nord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