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6F8FB"/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680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680"/>
            </w:tblGrid>
            <w:tr>
              <w:tc>
                <w:tcPr>
                  <w:tcW w:type="dxa" w:w="567"/>
                  <w:shd w:val="clear" w:color="auto" w:fill="111111"/>
                </w:tcPr>
                <w:p/>
              </w:tc>
            </w:tr>
            <w:tr>
              <w:tc>
                <w:tcPr>
                  <w:tcW w:type="dxa" w:w="567"/>
                  <w:shd w:val="clear" w:color="auto" w:fill="FFFFFF"/>
                </w:tcPr>
                <w:p/>
              </w:tc>
            </w:tr>
            <w:tr>
              <w:tc>
                <w:tcPr>
                  <w:tcW w:type="dxa" w:w="567"/>
                  <w:shd w:val="clear" w:color="auto" w:fill="E10600"/>
                </w:tcPr>
                <w:p/>
              </w:tc>
            </w:tr>
            <w:tr>
              <w:tc>
                <w:tcPr>
                  <w:tcW w:type="dxa" w:w="567"/>
                  <w:shd w:val="clear" w:color="auto" w:fill="FFFFFF"/>
                </w:tcPr>
                <w:p/>
              </w:tc>
            </w:tr>
            <w:tr>
              <w:tc>
                <w:tcPr>
                  <w:tcW w:type="dxa" w:w="567"/>
                  <w:shd w:val="clear" w:color="auto" w:fill="111111"/>
                </w:tcPr>
                <w:p/>
              </w:tc>
            </w:tr>
          </w:tbl>
          <w:p/>
        </w:tc>
        <w:tc>
          <w:tcPr>
            <w:tcW w:type="dxa" w:w="9746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9746"/>
            </w:tblGrid>
            <w:tr>
              <w:tc>
                <w:tcPr>
                  <w:tcW w:type="dxa" w:w="9746"/>
                </w:tcPr>
                <w:p>
                  <w:r>
                    <w:rPr>
                      <w:b/>
                      <w:color w:val="20242C"/>
                      <w:sz w:val="32"/>
                    </w:rPr>
                    <w:t>RAPPORT DE GESTION — SAS ALTIMÉA</w:t>
                  </w:r>
                </w:p>
              </w:tc>
            </w:tr>
          </w:tbl>
          <w:p/>
          <w:p>
            <w:pPr>
              <w:spacing w:after="120"/>
            </w:pPr>
            <w:r>
              <w:rPr>
                <w:b w:val="0"/>
                <w:i w:val="0"/>
                <w:color w:val="20242C"/>
                <w:sz w:val="20"/>
              </w:rPr>
              <w:t>Exercice clos le : 31/12/2025  •  Réf. : RG-ALT-25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4873"/>
              <w:gridCol w:w="4873"/>
            </w:tblGrid>
            <w:tr>
              <w:tc>
                <w:tcPr>
                  <w:tcW w:type="dxa" w:w="255"/>
                  <w:shd w:val="clear" w:color="auto" w:fill="FFB000"/>
                </w:tcPr>
                <w:p/>
              </w:tc>
              <w:tc>
                <w:tcPr>
                  <w:tcW w:type="dxa" w:w="7937"/>
                </w:tcPr>
                <w:p>
                  <w:r>
                    <w:rPr>
                      <w:b/>
                      <w:color w:val="20242C"/>
                      <w:sz w:val="26"/>
                    </w:rPr>
                    <w:t>SYNTHÈSE &amp; POINTS SAILLANTS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</w:tblPr>
                  <w:tblGrid>
                    <w:gridCol w:w="3968"/>
                    <w:gridCol w:w="3968"/>
                  </w:tblGrid>
                  <w:tr>
                    <w:tc>
                      <w:tcPr>
                        <w:tcW w:type="dxa" w:w="4745"/>
                        <w:tcBorders>
                          <w:top w:val="single" w:sz="6" w:space="0" w:color="FFD57A"/>
                          <w:left w:val="single" w:sz="6" w:space="0" w:color="FFD57A"/>
                          <w:bottom w:val="single" w:sz="6" w:space="0" w:color="FFD57A"/>
                          <w:right w:val="single" w:sz="6" w:space="0" w:color="FFD57A"/>
                        </w:tcBorders>
                        <w:shd w:val="clear" w:color="auto" w:fill="FFF7E6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20242C"/>
                            <w:sz w:val="22"/>
                          </w:rPr>
                          <w:t>✦ Résultat clé</w:t>
                        </w:r>
                      </w:p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CA : 18,3 M€  •  Marge : 34,8 %</w:t>
                          <w:br/>
                          <w:t>Décision : indexation ciblée T2.</w:t>
                        </w:r>
                      </w:p>
                    </w:tc>
                    <w:tc>
                      <w:tcPr>
                        <w:tcW w:type="dxa" w:w="4745"/>
                        <w:tcBorders>
                          <w:top w:val="single" w:sz="6" w:space="0" w:color="A5D8FF"/>
                          <w:left w:val="single" w:sz="6" w:space="0" w:color="A5D8FF"/>
                          <w:bottom w:val="single" w:sz="6" w:space="0" w:color="A5D8FF"/>
                          <w:right w:val="single" w:sz="6" w:space="0" w:color="A5D8FF"/>
                        </w:tcBorders>
                        <w:shd w:val="clear" w:color="auto" w:fill="F0F8FF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20242C"/>
                            <w:sz w:val="22"/>
                          </w:rPr>
                          <w:t>ⓘ Contexte</w:t>
                        </w:r>
                      </w:p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Périmètre : France (Lyon/Lille). Sources : ERP/Compta/CRM.</w:t>
                          <w:br/>
                          <w:t>Limites : transport T3 échantillonné.</w:t>
                        </w:r>
                      </w:p>
                    </w:tc>
                  </w:tr>
                  <w:tr>
                    <w:tc>
                      <w:tcPr>
                        <w:tcW w:type="dxa" w:w="4745"/>
                        <w:tcBorders>
                          <w:top w:val="single" w:sz="6" w:space="0" w:color="B2F2BB"/>
                          <w:left w:val="single" w:sz="6" w:space="0" w:color="B2F2BB"/>
                          <w:bottom w:val="single" w:sz="6" w:space="0" w:color="B2F2BB"/>
                          <w:right w:val="single" w:sz="6" w:space="0" w:color="B2F2BB"/>
                        </w:tcBorders>
                        <w:shd w:val="clear" w:color="auto" w:fill="F4FFF6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20242C"/>
                            <w:sz w:val="22"/>
                          </w:rPr>
                          <w:t>✓ Avancée notable</w:t>
                        </w:r>
                      </w:p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OTIF +1,6 pt après navettes horaires Lyon ↔ Saint-Priest.</w:t>
                        </w:r>
                      </w:p>
                    </w:tc>
                    <w:tc>
                      <w:tcPr>
                        <w:tcW w:type="dxa" w:w="4745"/>
                        <w:tcBorders>
                          <w:top w:val="single" w:sz="6" w:space="0" w:color="FFADAD"/>
                          <w:left w:val="single" w:sz="6" w:space="0" w:color="FFADAD"/>
                          <w:bottom w:val="single" w:sz="6" w:space="0" w:color="FFADAD"/>
                          <w:right w:val="single" w:sz="6" w:space="0" w:color="FFADAD"/>
                        </w:tcBorders>
                        <w:shd w:val="clear" w:color="auto" w:fill="FFF1F1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20242C"/>
                            <w:sz w:val="22"/>
                          </w:rPr>
                          <w:t>⚠ Risque</w:t>
                        </w:r>
                      </w:p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Fournisseur adjuvants (Nord) — double sourcing lancé, audit en avril.</w:t>
                        </w:r>
                      </w:p>
                    </w:tc>
                  </w:tr>
                </w:tbl>
                <w:p/>
              </w:tc>
            </w:tr>
          </w:tbl>
          <w:p/>
          <w:p>
            <w:pPr>
              <w:spacing w:after="120"/>
            </w:pPr>
            <w:r>
              <w:rPr>
                <w:b w:val="0"/>
                <w:i w:val="0"/>
                <w:color w:val="12141A"/>
                <w:sz w:val="22"/>
              </w:rPr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4873"/>
              <w:gridCol w:w="4873"/>
            </w:tblGrid>
            <w:tr>
              <w:tc>
                <w:tcPr>
                  <w:tcW w:type="dxa" w:w="255"/>
                  <w:shd w:val="clear" w:color="auto" w:fill="2251FF"/>
                </w:tcPr>
                <w:p/>
              </w:tc>
              <w:tc>
                <w:tcPr>
                  <w:tcW w:type="dxa" w:w="7937"/>
                </w:tcPr>
                <w:p>
                  <w:r>
                    <w:rPr>
                      <w:b/>
                      <w:color w:val="20242C"/>
                      <w:sz w:val="26"/>
                    </w:rPr>
                    <w:t>INDICATEURS (N / N-1 / CIBLE)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</w:tblPr>
                  <w:tblGrid>
                    <w:gridCol w:w="1984"/>
                    <w:gridCol w:w="1984"/>
                    <w:gridCol w:w="1984"/>
                    <w:gridCol w:w="1984"/>
                  </w:tblGrid>
                  <w:tr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◆ CA (€)</w:t>
                          <w:br/>
                          <w:t>18,3 M / 16,2 M / 19,0 M</w:t>
                        </w:r>
                      </w:p>
                    </w:tc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◆ EBITDA (€)</w:t>
                          <w:br/>
                          <w:t>2,45 M / 2,10 M / 2,60 M</w:t>
                        </w:r>
                      </w:p>
                    </w:tc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◆ Marge brute (%)</w:t>
                          <w:br/>
                          <w:t>34,8 / 33,2 / 35,0</w:t>
                        </w:r>
                      </w:p>
                    </w:tc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◆ Cash fin période (€)</w:t>
                          <w:br/>
                          <w:t>3,2 M / 2,6 M / 3,0 M</w:t>
                        </w:r>
                      </w:p>
                    </w:tc>
                  </w:tr>
                </w:tbl>
                <w:p/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4873"/>
              <w:gridCol w:w="4873"/>
            </w:tblGrid>
            <w:tr>
              <w:tc>
                <w:tcPr>
                  <w:tcW w:type="dxa" w:w="255"/>
                  <w:shd w:val="clear" w:color="auto" w:fill="FFB000"/>
                </w:tcPr>
                <w:p/>
              </w:tc>
              <w:tc>
                <w:tcPr>
                  <w:tcW w:type="dxa" w:w="7937"/>
                </w:tcPr>
                <w:p>
                  <w:r>
                    <w:rPr>
                      <w:b/>
                      <w:color w:val="20242C"/>
                      <w:sz w:val="26"/>
                    </w:rPr>
                    <w:t>JALONS TRIMESTRIELS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</w:tblPr>
                  <w:tblGrid>
                    <w:gridCol w:w="1984"/>
                    <w:gridCol w:w="1984"/>
                    <w:gridCol w:w="1984"/>
                    <w:gridCol w:w="1984"/>
                  </w:tblGrid>
                  <w:tr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2"/>
                          </w:rPr>
                          <w:t>T1 • ✹</w:t>
                        </w:r>
                      </w:p>
                    </w:tc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2"/>
                          </w:rPr>
                          <w:t>T2 • ✹</w:t>
                        </w:r>
                      </w:p>
                    </w:tc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2"/>
                          </w:rPr>
                          <w:t>T3 • ✹</w:t>
                        </w:r>
                      </w:p>
                    </w:tc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2"/>
                          </w:rPr>
                          <w:t>T4 • ✹</w:t>
                        </w:r>
                      </w:p>
                    </w:tc>
                  </w:tr>
                  <w:tr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Contrat cadre BTP Rhône</w:t>
                        </w:r>
                      </w:p>
                    </w:tc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Migration ERP finance</w:t>
                        </w:r>
                      </w:p>
                    </w:tc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Acquisition micro-usinage</w:t>
                        </w:r>
                      </w:p>
                    </w:tc>
                    <w:tc>
                      <w:tcPr>
                        <w:tcW w:type="dxa" w:w="1814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Renouvellement ISO 9001</w:t>
                        </w:r>
                      </w:p>
                    </w:tc>
                  </w:tr>
                </w:tbl>
                <w:p/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4873"/>
              <w:gridCol w:w="4873"/>
            </w:tblGrid>
            <w:tr>
              <w:tc>
                <w:tcPr>
                  <w:tcW w:type="dxa" w:w="255"/>
                  <w:shd w:val="clear" w:color="auto" w:fill="2251FF"/>
                </w:tcPr>
                <w:p/>
              </w:tc>
              <w:tc>
                <w:tcPr>
                  <w:tcW w:type="dxa" w:w="7937"/>
                </w:tcPr>
                <w:p>
                  <w:r>
                    <w:rPr>
                      <w:b/>
                      <w:color w:val="20242C"/>
                      <w:sz w:val="26"/>
                    </w:rPr>
                    <w:t>REGISTRE DES RISQUES (COMPACT)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</w:tblPr>
                  <w:tblGrid>
                    <w:gridCol w:w="1587"/>
                    <w:gridCol w:w="1587"/>
                    <w:gridCol w:w="1587"/>
                    <w:gridCol w:w="1587"/>
                    <w:gridCol w:w="1587"/>
                  </w:tblGrid>
                  <w:tr>
                    <w:tc>
                      <w:tcPr>
                        <w:tcW w:type="dxa" w:w="1701"/>
                        <w:shd w:val="clear" w:color="auto" w:fill="EAEFFA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0"/>
                          </w:rPr>
                          <w:t>Risque</w:t>
                        </w:r>
                      </w:p>
                    </w:tc>
                    <w:tc>
                      <w:tcPr>
                        <w:tcW w:type="dxa" w:w="907"/>
                        <w:shd w:val="clear" w:color="auto" w:fill="EAEFFA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0"/>
                          </w:rPr>
                          <w:t>Impact</w:t>
                        </w:r>
                      </w:p>
                    </w:tc>
                    <w:tc>
                      <w:tcPr>
                        <w:tcW w:type="dxa" w:w="907"/>
                        <w:shd w:val="clear" w:color="auto" w:fill="EAEFFA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0"/>
                          </w:rPr>
                          <w:t>Prob.</w:t>
                        </w:r>
                      </w:p>
                    </w:tc>
                    <w:tc>
                      <w:tcPr>
                        <w:tcW w:type="dxa" w:w="1701"/>
                        <w:shd w:val="clear" w:color="auto" w:fill="EAEFFA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0"/>
                          </w:rPr>
                          <w:t>Parade</w:t>
                        </w:r>
                      </w:p>
                    </w:tc>
                    <w:tc>
                      <w:tcPr>
                        <w:tcW w:type="dxa" w:w="907"/>
                        <w:shd w:val="clear" w:color="auto" w:fill="EAEFFA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0"/>
                          </w:rPr>
                          <w:t>Statut</w:t>
                        </w:r>
                      </w:p>
                    </w:tc>
                  </w:tr>
                  <w:tr>
                    <w:tc>
                      <w:tcPr>
                        <w:tcW w:type="dxa" w:w="170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Inflation intrants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Élevé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Moyen</w:t>
                        </w:r>
                      </w:p>
                    </w:tc>
                    <w:tc>
                      <w:tcPr>
                        <w:tcW w:type="dxa" w:w="170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Indexation + panels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En cours</w:t>
                        </w:r>
                      </w:p>
                    </w:tc>
                  </w:tr>
                  <w:tr>
                    <w:tc>
                      <w:tcPr>
                        <w:tcW w:type="dxa" w:w="170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Cyber ERP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Moyen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Moyen</w:t>
                        </w:r>
                      </w:p>
                    </w:tc>
                    <w:tc>
                      <w:tcPr>
                        <w:tcW w:type="dxa" w:w="170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Sauvegardes + MFA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OK</w:t>
                        </w:r>
                      </w:p>
                    </w:tc>
                  </w:tr>
                  <w:tr>
                    <w:tc>
                      <w:tcPr>
                        <w:tcW w:type="dxa" w:w="170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Tension RH atelier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Moyen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Élevé</w:t>
                        </w:r>
                      </w:p>
                    </w:tc>
                    <w:tc>
                      <w:tcPr>
                        <w:tcW w:type="dxa" w:w="170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Tutorat 25 mentors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En cours</w:t>
                        </w:r>
                      </w:p>
                    </w:tc>
                  </w:tr>
                  <w:tr>
                    <w:tc>
                      <w:tcPr>
                        <w:tcW w:type="dxa" w:w="170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Dépendance 2 clients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Élevé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Faible</w:t>
                        </w:r>
                      </w:p>
                    </w:tc>
                    <w:tc>
                      <w:tcPr>
                        <w:tcW w:type="dxa" w:w="170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Prospection PME</w:t>
                        </w:r>
                      </w:p>
                    </w:tc>
                    <w:tc>
                      <w:tcPr>
                        <w:tcW w:type="dxa" w:w="907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Planifié</w:t>
                        </w:r>
                      </w:p>
                    </w:tc>
                  </w:tr>
                </w:tbl>
                <w:p/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4873"/>
              <w:gridCol w:w="4873"/>
            </w:tblGrid>
            <w:tr>
              <w:tc>
                <w:tcPr>
                  <w:tcW w:type="dxa" w:w="255"/>
                  <w:shd w:val="clear" w:color="auto" w:fill="FFB000"/>
                </w:tcPr>
                <w:p/>
              </w:tc>
              <w:tc>
                <w:tcPr>
                  <w:tcW w:type="dxa" w:w="7937"/>
                </w:tcPr>
                <w:p>
                  <w:r>
                    <w:rPr>
                      <w:b/>
                      <w:color w:val="20242C"/>
                      <w:sz w:val="26"/>
                    </w:rPr>
                    <w:t>DÉCISIONS &amp; PLAN D’ACTION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</w:tblPr>
                  <w:tblGrid>
                    <w:gridCol w:w="1984"/>
                    <w:gridCol w:w="1984"/>
                    <w:gridCol w:w="1984"/>
                    <w:gridCol w:w="1984"/>
                  </w:tblGrid>
                  <w:tr>
                    <w:tc>
                      <w:tcPr>
                        <w:tcW w:type="dxa" w:w="2041"/>
                        <w:shd w:val="clear" w:color="auto" w:fill="FFF7E6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0"/>
                          </w:rPr>
                          <w:t>🏁 Décision</w:t>
                        </w:r>
                      </w:p>
                    </w:tc>
                    <w:tc>
                      <w:tcPr>
                        <w:tcW w:type="dxa" w:w="2041"/>
                        <w:shd w:val="clear" w:color="auto" w:fill="FFF7E6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0"/>
                          </w:rPr>
                          <w:t>🎯 Pourquoi</w:t>
                        </w:r>
                      </w:p>
                    </w:tc>
                    <w:tc>
                      <w:tcPr>
                        <w:tcW w:type="dxa" w:w="2041"/>
                        <w:shd w:val="clear" w:color="auto" w:fill="FFF7E6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0"/>
                          </w:rPr>
                          <w:t>👤 Responsable</w:t>
                        </w:r>
                      </w:p>
                    </w:tc>
                    <w:tc>
                      <w:tcPr>
                        <w:tcW w:type="dxa" w:w="2041"/>
                        <w:shd w:val="clear" w:color="auto" w:fill="FFF7E6"/>
                      </w:tcPr>
                      <w:p/>
                      <w:p>
                        <w:pPr>
                          <w:spacing w:after="40"/>
                        </w:pPr>
                        <w:r>
                          <w:rPr>
                            <w:b/>
                            <w:i w:val="0"/>
                            <w:color w:val="12141A"/>
                            <w:sz w:val="20"/>
                          </w:rPr>
                          <w:t>📅 Échéance</w:t>
                        </w:r>
                      </w:p>
                    </w:tc>
                  </w:tr>
                  <w:tr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Double sourcing adjuvants</w:t>
                        </w:r>
                      </w:p>
                    </w:tc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Réduire risque rupture</w:t>
                        </w:r>
                      </w:p>
                    </w:tc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Achats</w:t>
                        </w:r>
                      </w:p>
                    </w:tc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30/06/2026</w:t>
                        </w:r>
                      </w:p>
                    </w:tc>
                  </w:tr>
                  <w:tr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Exports ERP auto</w:t>
                        </w:r>
                      </w:p>
                    </w:tc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Fiabiliser reporting</w:t>
                        </w:r>
                      </w:p>
                    </w:tc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Finance/IT</w:t>
                        </w:r>
                      </w:p>
                    </w:tc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31/03/2026</w:t>
                        </w:r>
                      </w:p>
                    </w:tc>
                  </w:tr>
                  <w:tr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Tutorat sécurité</w:t>
                        </w:r>
                      </w:p>
                    </w:tc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Baisser TF1</w:t>
                        </w:r>
                      </w:p>
                    </w:tc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RH</w:t>
                        </w:r>
                      </w:p>
                    </w:tc>
                    <w:tc>
                      <w:tcPr>
                        <w:tcW w:type="dxa" w:w="2041"/>
                      </w:tcPr>
                      <w:p/>
                      <w:p>
                        <w:pPr>
                          <w:spacing w:after="120"/>
                        </w:pPr>
                        <w:r>
                          <w:rPr>
                            <w:b w:val="0"/>
                            <w:i w:val="0"/>
                            <w:color w:val="20242C"/>
                            <w:sz w:val="20"/>
                          </w:rPr>
                          <w:t>30/09/2026</w:t>
                        </w:r>
                      </w:p>
                    </w:tc>
                  </w:tr>
                </w:tbl>
                <w:p/>
              </w:tc>
            </w:tr>
          </w:tbl>
          <w:p/>
          <w:p>
            <w:pPr>
              <w:spacing w:after="120"/>
            </w:pPr>
            <w:r>
              <w:rPr>
                <w:b w:val="0"/>
                <w:i w:val="0"/>
                <w:color w:val="20242C"/>
                <w:sz w:val="18"/>
              </w:rPr>
              <w:t>Avertissement : modèle éditorial « Marginalia Ribbon ». Vérifier les obligations légales applicables avant diffusion.</w:t>
            </w:r>
          </w:p>
        </w:tc>
      </w:tr>
    </w:tbl>
    <w:sectPr w:rsidR="00FC693F" w:rsidRPr="0006063C" w:rsidSect="00034616">
      <w:pgSz w:w="12240" w:h="15840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