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6183"/>
        <w:gridCol w:w="3789"/>
      </w:tblGrid>
      <w:tr>
        <w:tc>
          <w:tcPr>
            <w:tcW w:type="dxa" w:w="6183"/>
            <w:shd w:val="clear" w:color="auto" w:fill="6B4EFF"/>
          </w:tcPr>
          <w:p>
            <w:r>
              <w:rPr>
                <w:b/>
                <w:color w:val="FFFFFF"/>
                <w:sz w:val="36"/>
              </w:rPr>
              <w:t>RAPPORT DE GESTION — SAS NOVAXIS INDUSTRIE</w:t>
            </w:r>
          </w:p>
        </w:tc>
        <w:tc>
          <w:tcPr>
            <w:tcW w:type="dxa" w:w="3789"/>
            <w:shd w:val="clear" w:color="auto" w:fill="6B4EFF"/>
          </w:tcPr>
          <w:p>
            <w:pPr>
              <w:jc w:val="right"/>
            </w:pPr>
            <w:r>
              <w:rPr>
                <w:b/>
                <w:color w:val="FFFFFF"/>
                <w:sz w:val="22"/>
              </w:rPr>
              <w:t>Exercice clos le : 31/12/2025  |  Réf. : RG-NVX-25</w:t>
            </w:r>
          </w:p>
        </w:tc>
      </w:tr>
    </w:tbl>
    <w:p>
      <w:pPr>
        <w:spacing w:after="160"/>
      </w:pP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55"/>
        <w:gridCol w:w="9717"/>
      </w:tblGrid>
      <w:tr>
        <w:tc>
          <w:tcPr>
            <w:tcW w:type="dxa" w:w="255"/>
            <w:shd w:val="clear" w:color="auto" w:fill="6B4EFF"/>
          </w:tcPr>
          <w:p/>
        </w:tc>
        <w:tc>
          <w:tcPr>
            <w:tcW w:type="dxa" w:w="9717"/>
          </w:tcPr>
          <w:p>
            <w:pPr>
              <w:spacing w:after="120"/>
            </w:pPr>
            <w:r>
              <w:rPr>
                <w:b/>
                <w:color w:val="2F3441"/>
                <w:sz w:val="26"/>
              </w:rPr>
              <w:t>INFORMATIONS GÉNÉRALES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401"/>
        <w:gridCol w:w="1477"/>
        <w:gridCol w:w="1477"/>
        <w:gridCol w:w="2955"/>
        <w:gridCol w:w="1662"/>
      </w:tblGrid>
      <w:tr>
        <w:tc>
          <w:tcPr>
            <w:tcW w:type="dxa" w:w="2401"/>
            <w:shd w:val="clear" w:color="auto" w:fill="EEEAFE"/>
          </w:tcPr>
          <w:p>
            <w:r>
              <w:rPr>
                <w:b/>
                <w:color w:val="2F3441"/>
                <w:sz w:val="20"/>
              </w:rPr>
              <w:t>Dénomination</w:t>
            </w:r>
          </w:p>
        </w:tc>
        <w:tc>
          <w:tcPr>
            <w:tcW w:type="dxa" w:w="1477"/>
            <w:shd w:val="clear" w:color="auto" w:fill="EEEAFE"/>
          </w:tcPr>
          <w:p>
            <w:r>
              <w:rPr>
                <w:b/>
                <w:color w:val="2F3441"/>
                <w:sz w:val="20"/>
              </w:rPr>
              <w:t>Forme</w:t>
            </w:r>
          </w:p>
        </w:tc>
        <w:tc>
          <w:tcPr>
            <w:tcW w:type="dxa" w:w="1477"/>
            <w:shd w:val="clear" w:color="auto" w:fill="EEEAFE"/>
          </w:tcPr>
          <w:p>
            <w:r>
              <w:rPr>
                <w:b/>
                <w:color w:val="2F3441"/>
                <w:sz w:val="20"/>
              </w:rPr>
              <w:t>Capital (€)</w:t>
            </w:r>
          </w:p>
        </w:tc>
        <w:tc>
          <w:tcPr>
            <w:tcW w:type="dxa" w:w="2955"/>
            <w:shd w:val="clear" w:color="auto" w:fill="EEEAFE"/>
          </w:tcPr>
          <w:p>
            <w:r>
              <w:rPr>
                <w:b/>
                <w:color w:val="2F3441"/>
                <w:sz w:val="20"/>
              </w:rPr>
              <w:t>Siège social</w:t>
            </w:r>
          </w:p>
        </w:tc>
        <w:tc>
          <w:tcPr>
            <w:tcW w:type="dxa" w:w="1662"/>
            <w:shd w:val="clear" w:color="auto" w:fill="EEEAFE"/>
          </w:tcPr>
          <w:p>
            <w:r>
              <w:rPr>
                <w:b/>
                <w:color w:val="2F3441"/>
                <w:sz w:val="20"/>
              </w:rPr>
              <w:t>RCS</w:t>
            </w:r>
          </w:p>
        </w:tc>
      </w:tr>
      <w:tr>
        <w:tc>
          <w:tcPr>
            <w:tcW w:type="dxa" w:w="2401"/>
          </w:tcPr>
          <w:p>
            <w:r>
              <w:rPr>
                <w:sz w:val="20"/>
              </w:rPr>
              <w:t>NOVAXIS INDUSTRIE</w:t>
            </w:r>
          </w:p>
        </w:tc>
        <w:tc>
          <w:tcPr>
            <w:tcW w:type="dxa" w:w="1477"/>
          </w:tcPr>
          <w:p>
            <w:r>
              <w:rPr>
                <w:sz w:val="20"/>
              </w:rPr>
              <w:t>SAS</w:t>
            </w:r>
          </w:p>
        </w:tc>
        <w:tc>
          <w:tcPr>
            <w:tcW w:type="dxa" w:w="1477"/>
          </w:tcPr>
          <w:p>
            <w:r>
              <w:rPr>
                <w:sz w:val="20"/>
              </w:rPr>
              <w:t>250 000</w:t>
            </w:r>
          </w:p>
        </w:tc>
        <w:tc>
          <w:tcPr>
            <w:tcW w:type="dxa" w:w="2955"/>
          </w:tcPr>
          <w:p>
            <w:r>
              <w:rPr>
                <w:sz w:val="20"/>
              </w:rPr>
              <w:t>18 rue des Fragments, 59000 Lille</w:t>
            </w:r>
          </w:p>
        </w:tc>
        <w:tc>
          <w:tcPr>
            <w:tcW w:type="dxa" w:w="1662"/>
          </w:tcPr>
          <w:p>
            <w:r>
              <w:rPr>
                <w:sz w:val="20"/>
              </w:rPr>
              <w:t>Lille 823 456 019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241"/>
        <w:gridCol w:w="3989"/>
        <w:gridCol w:w="2742"/>
      </w:tblGrid>
      <w:tr>
        <w:tc>
          <w:tcPr>
            <w:tcW w:type="dxa" w:w="3241"/>
            <w:shd w:val="clear" w:color="auto" w:fill="EEEAFE"/>
          </w:tcPr>
          <w:p>
            <w:r>
              <w:rPr>
                <w:b/>
                <w:color w:val="2F3441"/>
                <w:sz w:val="20"/>
              </w:rPr>
              <w:t>Président</w:t>
            </w:r>
          </w:p>
        </w:tc>
        <w:tc>
          <w:tcPr>
            <w:tcW w:type="dxa" w:w="3989"/>
            <w:shd w:val="clear" w:color="auto" w:fill="EEEAFE"/>
          </w:tcPr>
          <w:p>
            <w:r>
              <w:rPr>
                <w:b/>
                <w:color w:val="2F3441"/>
                <w:sz w:val="20"/>
              </w:rPr>
              <w:t>CAC</w:t>
            </w:r>
          </w:p>
        </w:tc>
        <w:tc>
          <w:tcPr>
            <w:tcW w:type="dxa" w:w="2742"/>
            <w:shd w:val="clear" w:color="auto" w:fill="EEEAFE"/>
          </w:tcPr>
          <w:p>
            <w:r>
              <w:rPr>
                <w:b/>
                <w:color w:val="2F3441"/>
                <w:sz w:val="20"/>
              </w:rPr>
              <w:t>Période d’exercice</w:t>
            </w:r>
          </w:p>
        </w:tc>
      </w:tr>
      <w:tr>
        <w:tc>
          <w:tcPr>
            <w:tcW w:type="dxa" w:w="3241"/>
          </w:tcPr>
          <w:p>
            <w:r>
              <w:rPr>
                <w:sz w:val="20"/>
              </w:rPr>
              <w:t>Sofia MARTIN</w:t>
            </w:r>
          </w:p>
        </w:tc>
        <w:tc>
          <w:tcPr>
            <w:tcW w:type="dxa" w:w="3989"/>
          </w:tcPr>
          <w:p>
            <w:r>
              <w:rPr>
                <w:sz w:val="20"/>
              </w:rPr>
              <w:t>Cabinet Varela &amp; Associés</w:t>
            </w:r>
          </w:p>
        </w:tc>
        <w:tc>
          <w:tcPr>
            <w:tcW w:type="dxa" w:w="2742"/>
          </w:tcPr>
          <w:p>
            <w:r>
              <w:rPr>
                <w:sz w:val="20"/>
              </w:rPr>
              <w:t>01/01/2025 — 31/12/2025</w:t>
            </w:r>
          </w:p>
        </w:tc>
      </w:tr>
    </w:tbl>
    <w:p>
      <w:pPr>
        <w:spacing w:after="120"/>
      </w:pPr>
      <w:r>
        <w:rPr>
          <w:b w:val="0"/>
          <w:i w:val="0"/>
          <w:color w:val="12141A"/>
          <w:sz w:val="22"/>
        </w:rPr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55"/>
        <w:gridCol w:w="9717"/>
      </w:tblGrid>
      <w:tr>
        <w:tc>
          <w:tcPr>
            <w:tcW w:type="dxa" w:w="255"/>
            <w:shd w:val="clear" w:color="auto" w:fill="1ABC9C"/>
          </w:tcPr>
          <w:p/>
        </w:tc>
        <w:tc>
          <w:tcPr>
            <w:tcW w:type="dxa" w:w="9717"/>
          </w:tcPr>
          <w:p>
            <w:pPr>
              <w:spacing w:after="120"/>
            </w:pPr>
            <w:r>
              <w:rPr>
                <w:b/>
                <w:color w:val="2F3441"/>
                <w:sz w:val="26"/>
              </w:rPr>
              <w:t>INDICATEURS CLÉS (TUILES)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116"/>
        <w:gridCol w:w="3116"/>
        <w:gridCol w:w="3116"/>
      </w:tblGrid>
      <w:tr>
        <w:tc>
          <w:tcPr>
            <w:tcW w:type="dxa" w:w="3116"/>
            <w:shd w:val="clear" w:color="auto" w:fill="EEEAFE"/>
          </w:tcPr>
          <w:p>
            <w:r>
              <w:rPr>
                <w:b/>
              </w:rPr>
              <w:t>CA ANNUEL (€)</w:t>
              <w:br/>
            </w:r>
            <w:r>
              <w:rPr>
                <w:sz w:val="36"/>
              </w:rPr>
              <w:t>15 600 000</w:t>
            </w:r>
          </w:p>
        </w:tc>
        <w:tc>
          <w:tcPr>
            <w:tcW w:type="dxa" w:w="3116"/>
            <w:shd w:val="clear" w:color="auto" w:fill="EEEAFE"/>
          </w:tcPr>
          <w:p>
            <w:r>
              <w:rPr>
                <w:b/>
              </w:rPr>
              <w:t>EBITDA (€)</w:t>
              <w:br/>
            </w:r>
            <w:r>
              <w:rPr>
                <w:sz w:val="36"/>
              </w:rPr>
              <w:t>2 120 000</w:t>
            </w:r>
          </w:p>
        </w:tc>
        <w:tc>
          <w:tcPr>
            <w:tcW w:type="dxa" w:w="3116"/>
            <w:shd w:val="clear" w:color="auto" w:fill="EEEAFE"/>
          </w:tcPr>
          <w:p>
            <w:r>
              <w:rPr>
                <w:b/>
              </w:rPr>
              <w:t>MARGE BRUTE (%)</w:t>
              <w:br/>
            </w:r>
            <w:r>
              <w:rPr>
                <w:sz w:val="36"/>
              </w:rPr>
              <w:t>35,4 %</w:t>
            </w:r>
          </w:p>
        </w:tc>
      </w:tr>
    </w:tbl>
    <w:p>
      <w:pPr>
        <w:spacing w:after="120"/>
      </w:pPr>
      <w:r>
        <w:rPr>
          <w:b w:val="0"/>
          <w:i w:val="0"/>
          <w:color w:val="2F3441"/>
          <w:sz w:val="20"/>
        </w:rPr>
        <w:t>Note de lecture : périmètre France + Ibérie ; définitions stables depuis janvier 2024 ; sources ERP/Compta/CRM.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55"/>
        <w:gridCol w:w="9717"/>
      </w:tblGrid>
      <w:tr>
        <w:tc>
          <w:tcPr>
            <w:tcW w:type="dxa" w:w="255"/>
            <w:shd w:val="clear" w:color="auto" w:fill="6B4EFF"/>
          </w:tcPr>
          <w:p/>
        </w:tc>
        <w:tc>
          <w:tcPr>
            <w:tcW w:type="dxa" w:w="9717"/>
          </w:tcPr>
          <w:p>
            <w:pPr>
              <w:spacing w:after="120"/>
            </w:pPr>
            <w:r>
              <w:rPr>
                <w:b/>
                <w:color w:val="2F3441"/>
                <w:sz w:val="26"/>
              </w:rPr>
              <w:t>JALONS DE L’EXERCICE (TIMELINE)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val="clear" w:color="auto" w:fill="EEEAFE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T1</w:t>
            </w:r>
          </w:p>
        </w:tc>
        <w:tc>
          <w:tcPr>
            <w:tcW w:type="dxa" w:w="2493"/>
            <w:shd w:val="clear" w:color="auto" w:fill="EEEAFE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T2</w:t>
            </w:r>
          </w:p>
        </w:tc>
        <w:tc>
          <w:tcPr>
            <w:tcW w:type="dxa" w:w="2493"/>
            <w:shd w:val="clear" w:color="auto" w:fill="EEEAFE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T3</w:t>
            </w:r>
          </w:p>
        </w:tc>
        <w:tc>
          <w:tcPr>
            <w:tcW w:type="dxa" w:w="2493"/>
            <w:shd w:val="clear" w:color="auto" w:fill="EEEAFE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T4</w:t>
            </w:r>
          </w:p>
        </w:tc>
      </w:tr>
      <w:tr>
        <w:tc>
          <w:tcPr>
            <w:tcW w:type="dxa" w:w="2493"/>
          </w:tcPr>
          <w:p>
            <w:r>
              <w:rPr>
                <w:sz w:val="20"/>
              </w:rPr>
              <w:t>Contrat cadre AERIS (2,4 M€/an)</w:t>
            </w:r>
          </w:p>
        </w:tc>
        <w:tc>
          <w:tcPr>
            <w:tcW w:type="dxa" w:w="2493"/>
          </w:tcPr>
          <w:p>
            <w:r>
              <w:rPr>
                <w:sz w:val="20"/>
              </w:rPr>
              <w:t>Migration ERP finance/achats</w:t>
            </w:r>
          </w:p>
        </w:tc>
        <w:tc>
          <w:tcPr>
            <w:tcW w:type="dxa" w:w="2493"/>
          </w:tcPr>
          <w:p>
            <w:r>
              <w:rPr>
                <w:sz w:val="20"/>
              </w:rPr>
              <w:t>Acquisition MicroPlan (planif atelier)</w:t>
            </w:r>
          </w:p>
        </w:tc>
        <w:tc>
          <w:tcPr>
            <w:tcW w:type="dxa" w:w="2493"/>
          </w:tcPr>
          <w:p>
            <w:r>
              <w:rPr>
                <w:sz w:val="20"/>
              </w:rPr>
              <w:t>Renouvellement ISO 9001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55"/>
        <w:gridCol w:w="9717"/>
      </w:tblGrid>
      <w:tr>
        <w:tc>
          <w:tcPr>
            <w:tcW w:type="dxa" w:w="255"/>
            <w:shd w:val="clear" w:color="auto" w:fill="1ABC9C"/>
          </w:tcPr>
          <w:p/>
        </w:tc>
        <w:tc>
          <w:tcPr>
            <w:tcW w:type="dxa" w:w="9717"/>
          </w:tcPr>
          <w:p>
            <w:pPr>
              <w:spacing w:after="120"/>
            </w:pPr>
            <w:r>
              <w:rPr>
                <w:b/>
                <w:color w:val="2F3441"/>
                <w:sz w:val="26"/>
              </w:rPr>
              <w:t>RISQUES (MATRICE 3×3)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134"/>
        <w:gridCol w:w="1134"/>
        <w:gridCol w:w="1134"/>
        <w:gridCol w:w="1134"/>
      </w:tblGrid>
      <w:tr>
        <w:tc>
          <w:tcPr>
            <w:tcW w:type="dxa" w:w="1134"/>
            <w:shd w:val="clear" w:color="auto" w:fill="FFFFFF"/>
          </w:tcPr>
          <w:p>
            <w:r>
              <w:rPr>
                <w:b/>
              </w:rPr>
              <w:t>Impact / Prob.</w:t>
            </w:r>
          </w:p>
        </w:tc>
        <w:tc>
          <w:tcPr>
            <w:tcW w:type="dxa" w:w="1134"/>
            <w:shd w:val="clear" w:color="auto" w:fill="EEEAFE"/>
          </w:tcPr>
          <w:p>
            <w:r>
              <w:rPr>
                <w:b/>
              </w:rPr>
              <w:t>Faible</w:t>
            </w:r>
          </w:p>
        </w:tc>
        <w:tc>
          <w:tcPr>
            <w:tcW w:type="dxa" w:w="1134"/>
            <w:shd w:val="clear" w:color="auto" w:fill="EEEAFE"/>
          </w:tcPr>
          <w:p>
            <w:r>
              <w:rPr>
                <w:b/>
              </w:rPr>
              <w:t>Moyenne</w:t>
            </w:r>
          </w:p>
        </w:tc>
        <w:tc>
          <w:tcPr>
            <w:tcW w:type="dxa" w:w="1134"/>
            <w:shd w:val="clear" w:color="auto" w:fill="EEEAFE"/>
          </w:tcPr>
          <w:p>
            <w:r>
              <w:rPr>
                <w:b/>
              </w:rPr>
              <w:t>Élevée</w:t>
            </w:r>
          </w:p>
        </w:tc>
      </w:tr>
      <w:tr>
        <w:tc>
          <w:tcPr>
            <w:tcW w:type="dxa" w:w="1134"/>
            <w:shd w:val="clear" w:color="auto" w:fill="EEEAFE"/>
          </w:tcPr>
          <w:p>
            <w:r>
              <w:rPr>
                <w:b/>
              </w:rPr>
              <w:t>Faible</w:t>
            </w:r>
          </w:p>
        </w:tc>
        <w:tc>
          <w:tcPr>
            <w:tcW w:type="dxa" w:w="1134"/>
            <w:shd w:val="clear" w:color="auto" w:fill="CFF9E8"/>
          </w:tcPr>
          <w:p/>
        </w:tc>
        <w:tc>
          <w:tcPr>
            <w:tcW w:type="dxa" w:w="1134"/>
            <w:shd w:val="clear" w:color="auto" w:fill="FFF3C4"/>
          </w:tcPr>
          <w:p>
            <w:r>
              <w:rPr>
                <w:sz w:val="18"/>
              </w:rPr>
              <w:t>Cyber (ERP)</w:t>
            </w:r>
          </w:p>
        </w:tc>
        <w:tc>
          <w:tcPr>
            <w:tcW w:type="dxa" w:w="1134"/>
            <w:shd w:val="clear" w:color="auto" w:fill="FFE0E0"/>
          </w:tcPr>
          <w:p/>
        </w:tc>
      </w:tr>
      <w:tr>
        <w:tc>
          <w:tcPr>
            <w:tcW w:type="dxa" w:w="1134"/>
            <w:shd w:val="clear" w:color="auto" w:fill="EEEAFE"/>
          </w:tcPr>
          <w:p>
            <w:r>
              <w:rPr>
                <w:b/>
              </w:rPr>
              <w:t>Moyenne</w:t>
            </w:r>
          </w:p>
        </w:tc>
        <w:tc>
          <w:tcPr>
            <w:tcW w:type="dxa" w:w="1134"/>
            <w:shd w:val="clear" w:color="auto" w:fill="E8FBEF"/>
          </w:tcPr>
          <w:p/>
        </w:tc>
        <w:tc>
          <w:tcPr>
            <w:tcW w:type="dxa" w:w="1134"/>
            <w:shd w:val="clear" w:color="auto" w:fill="FFEEC7"/>
          </w:tcPr>
          <w:p/>
        </w:tc>
        <w:tc>
          <w:tcPr>
            <w:tcW w:type="dxa" w:w="1134"/>
            <w:shd w:val="clear" w:color="auto" w:fill="FFD6D6"/>
          </w:tcPr>
          <w:p>
            <w:r>
              <w:rPr>
                <w:sz w:val="18"/>
              </w:rPr>
              <w:t>Fournisseurs critiques</w:t>
            </w:r>
          </w:p>
        </w:tc>
      </w:tr>
      <w:tr>
        <w:tc>
          <w:tcPr>
            <w:tcW w:type="dxa" w:w="1134"/>
            <w:shd w:val="clear" w:color="auto" w:fill="EEEAFE"/>
          </w:tcPr>
          <w:p>
            <w:r>
              <w:rPr>
                <w:b/>
              </w:rPr>
              <w:t>Élevée</w:t>
            </w:r>
          </w:p>
        </w:tc>
        <w:tc>
          <w:tcPr>
            <w:tcW w:type="dxa" w:w="1134"/>
            <w:shd w:val="clear" w:color="auto" w:fill="E3F7E8"/>
          </w:tcPr>
          <w:p/>
        </w:tc>
        <w:tc>
          <w:tcPr>
            <w:tcW w:type="dxa" w:w="1134"/>
            <w:shd w:val="clear" w:color="auto" w:fill="FFE4BF"/>
          </w:tcPr>
          <w:p>
            <w:r>
              <w:rPr>
                <w:sz w:val="18"/>
              </w:rPr>
              <w:t>Inflation coûts</w:t>
            </w:r>
          </w:p>
        </w:tc>
        <w:tc>
          <w:tcPr>
            <w:tcW w:type="dxa" w:w="1134"/>
            <w:shd w:val="clear" w:color="auto" w:fill="FFC7C7"/>
          </w:tcPr>
          <w:p>
            <w:r>
              <w:rPr>
                <w:sz w:val="18"/>
              </w:rPr>
              <w:t>Dépendance grands comptes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55"/>
        <w:gridCol w:w="9717"/>
      </w:tblGrid>
      <w:tr>
        <w:tc>
          <w:tcPr>
            <w:tcW w:type="dxa" w:w="255"/>
            <w:shd w:val="clear" w:color="auto" w:fill="6B4EFF"/>
          </w:tcPr>
          <w:p/>
        </w:tc>
        <w:tc>
          <w:tcPr>
            <w:tcW w:type="dxa" w:w="9717"/>
          </w:tcPr>
          <w:p>
            <w:pPr>
              <w:spacing w:after="120"/>
            </w:pPr>
            <w:r>
              <w:rPr>
                <w:b/>
                <w:color w:val="2F3441"/>
                <w:sz w:val="26"/>
              </w:rPr>
              <w:t>BUDGET &amp; ÉCARTS (BARRES PROPORTIONNELLES)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493"/>
        <w:gridCol w:w="1662"/>
        <w:gridCol w:w="1662"/>
        <w:gridCol w:w="1330"/>
        <w:gridCol w:w="2825"/>
      </w:tblGrid>
      <w:tr>
        <w:tc>
          <w:tcPr>
            <w:tcW w:type="dxa" w:w="2493"/>
            <w:shd w:val="clear" w:color="auto" w:fill="EEEAFE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Poste</w:t>
            </w:r>
          </w:p>
        </w:tc>
        <w:tc>
          <w:tcPr>
            <w:tcW w:type="dxa" w:w="1662"/>
            <w:shd w:val="clear" w:color="auto" w:fill="EEEAFE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Prévu (€)</w:t>
            </w:r>
          </w:p>
        </w:tc>
        <w:tc>
          <w:tcPr>
            <w:tcW w:type="dxa" w:w="1662"/>
            <w:shd w:val="clear" w:color="auto" w:fill="EEEAFE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Réalisé (€)</w:t>
            </w:r>
          </w:p>
        </w:tc>
        <w:tc>
          <w:tcPr>
            <w:tcW w:type="dxa" w:w="1330"/>
            <w:shd w:val="clear" w:color="auto" w:fill="EEEAFE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% du total</w:t>
            </w:r>
          </w:p>
        </w:tc>
        <w:tc>
          <w:tcPr>
            <w:tcW w:type="dxa" w:w="2825"/>
            <w:shd w:val="clear" w:color="auto" w:fill="EEEAFE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Barre</w:t>
            </w:r>
          </w:p>
        </w:tc>
      </w:tr>
      <w:tr>
        <w:tc>
          <w:tcPr>
            <w:tcW w:type="dxa" w:w="2493"/>
          </w:tcPr>
          <w:p>
            <w:r>
              <w:rPr>
                <w:sz w:val="20"/>
              </w:rPr>
              <w:t>Personnel &amp; coaching</w:t>
            </w:r>
          </w:p>
        </w:tc>
        <w:tc>
          <w:tcPr>
            <w:tcW w:type="dxa" w:w="1662"/>
          </w:tcPr>
          <w:p>
            <w:r>
              <w:rPr>
                <w:sz w:val="20"/>
              </w:rPr>
              <w:t>5 400 000</w:t>
            </w:r>
          </w:p>
        </w:tc>
        <w:tc>
          <w:tcPr>
            <w:tcW w:type="dxa" w:w="1662"/>
          </w:tcPr>
          <w:p>
            <w:r>
              <w:rPr>
                <w:sz w:val="20"/>
              </w:rPr>
              <w:t>5 280 000</w:t>
            </w:r>
          </w:p>
        </w:tc>
        <w:tc>
          <w:tcPr>
            <w:tcW w:type="dxa" w:w="1330"/>
          </w:tcPr>
          <w:p>
            <w:r>
              <w:rPr>
                <w:sz w:val="20"/>
              </w:rPr>
              <w:t>34 %</w:t>
            </w:r>
          </w:p>
        </w:tc>
        <w:tc>
          <w:tcPr>
            <w:tcW w:type="dxa" w:w="2825"/>
          </w:tcPr>
          <w:p>
            <w:r>
              <w:rPr>
                <w:sz w:val="20"/>
              </w:rPr>
              <w:t>██████░░░░░░░░░░░░</w:t>
            </w:r>
          </w:p>
        </w:tc>
      </w:tr>
      <w:tr>
        <w:tc>
          <w:tcPr>
            <w:tcW w:type="dxa" w:w="2493"/>
          </w:tcPr>
          <w:p>
            <w:r>
              <w:rPr>
                <w:sz w:val="20"/>
              </w:rPr>
              <w:t>Plateforme &amp; IT</w:t>
            </w:r>
          </w:p>
        </w:tc>
        <w:tc>
          <w:tcPr>
            <w:tcW w:type="dxa" w:w="1662"/>
          </w:tcPr>
          <w:p>
            <w:r>
              <w:rPr>
                <w:sz w:val="20"/>
              </w:rPr>
              <w:t>2 100 000</w:t>
            </w:r>
          </w:p>
        </w:tc>
        <w:tc>
          <w:tcPr>
            <w:tcW w:type="dxa" w:w="1662"/>
          </w:tcPr>
          <w:p>
            <w:r>
              <w:rPr>
                <w:sz w:val="20"/>
              </w:rPr>
              <w:t>1 980 000</w:t>
            </w:r>
          </w:p>
        </w:tc>
        <w:tc>
          <w:tcPr>
            <w:tcW w:type="dxa" w:w="1330"/>
          </w:tcPr>
          <w:p>
            <w:r>
              <w:rPr>
                <w:sz w:val="20"/>
              </w:rPr>
              <w:t>13 %</w:t>
            </w:r>
          </w:p>
        </w:tc>
        <w:tc>
          <w:tcPr>
            <w:tcW w:type="dxa" w:w="2825"/>
          </w:tcPr>
          <w:p>
            <w:r>
              <w:rPr>
                <w:sz w:val="20"/>
              </w:rPr>
              <w:t>██░░░░░░░░░░░░░░░░</w:t>
            </w:r>
          </w:p>
        </w:tc>
      </w:tr>
      <w:tr>
        <w:tc>
          <w:tcPr>
            <w:tcW w:type="dxa" w:w="2493"/>
          </w:tcPr>
          <w:p>
            <w:r>
              <w:rPr>
                <w:sz w:val="20"/>
              </w:rPr>
              <w:t>Achats &amp; sous-traitance</w:t>
            </w:r>
          </w:p>
        </w:tc>
        <w:tc>
          <w:tcPr>
            <w:tcW w:type="dxa" w:w="1662"/>
          </w:tcPr>
          <w:p>
            <w:r>
              <w:rPr>
                <w:sz w:val="20"/>
              </w:rPr>
              <w:t>3 900 000</w:t>
            </w:r>
          </w:p>
        </w:tc>
        <w:tc>
          <w:tcPr>
            <w:tcW w:type="dxa" w:w="1662"/>
          </w:tcPr>
          <w:p>
            <w:r>
              <w:rPr>
                <w:sz w:val="20"/>
              </w:rPr>
              <w:t>4 180 000</w:t>
            </w:r>
          </w:p>
        </w:tc>
        <w:tc>
          <w:tcPr>
            <w:tcW w:type="dxa" w:w="1330"/>
          </w:tcPr>
          <w:p>
            <w:r>
              <w:rPr>
                <w:sz w:val="20"/>
              </w:rPr>
              <w:t>27 %</w:t>
            </w:r>
          </w:p>
        </w:tc>
        <w:tc>
          <w:tcPr>
            <w:tcW w:type="dxa" w:w="2825"/>
          </w:tcPr>
          <w:p>
            <w:r>
              <w:rPr>
                <w:sz w:val="20"/>
              </w:rPr>
              <w:t>█████░░░░░░░░░░░░░</w:t>
            </w:r>
          </w:p>
        </w:tc>
      </w:tr>
      <w:tr>
        <w:tc>
          <w:tcPr>
            <w:tcW w:type="dxa" w:w="2493"/>
          </w:tcPr>
          <w:p>
            <w:r>
              <w:rPr>
                <w:sz w:val="20"/>
              </w:rPr>
              <w:t>Commercial &amp; marketing</w:t>
            </w:r>
          </w:p>
        </w:tc>
        <w:tc>
          <w:tcPr>
            <w:tcW w:type="dxa" w:w="1662"/>
          </w:tcPr>
          <w:p>
            <w:r>
              <w:rPr>
                <w:sz w:val="20"/>
              </w:rPr>
              <w:t>1 450 000</w:t>
            </w:r>
          </w:p>
        </w:tc>
        <w:tc>
          <w:tcPr>
            <w:tcW w:type="dxa" w:w="1662"/>
          </w:tcPr>
          <w:p>
            <w:r>
              <w:rPr>
                <w:sz w:val="20"/>
              </w:rPr>
              <w:t>1 320 000</w:t>
            </w:r>
          </w:p>
        </w:tc>
        <w:tc>
          <w:tcPr>
            <w:tcW w:type="dxa" w:w="1330"/>
          </w:tcPr>
          <w:p>
            <w:r>
              <w:rPr>
                <w:sz w:val="20"/>
              </w:rPr>
              <w:t>9 %</w:t>
            </w:r>
          </w:p>
        </w:tc>
        <w:tc>
          <w:tcPr>
            <w:tcW w:type="dxa" w:w="2825"/>
          </w:tcPr>
          <w:p>
            <w:r>
              <w:rPr>
                <w:sz w:val="20"/>
              </w:rPr>
              <w:t>██░░░░░░░░░░░░░░░░</w:t>
            </w:r>
          </w:p>
        </w:tc>
      </w:tr>
      <w:tr>
        <w:tc>
          <w:tcPr>
            <w:tcW w:type="dxa" w:w="2493"/>
          </w:tcPr>
          <w:p>
            <w:r>
              <w:rPr>
                <w:sz w:val="20"/>
              </w:rPr>
              <w:t>Fonctionnement</w:t>
            </w:r>
          </w:p>
        </w:tc>
        <w:tc>
          <w:tcPr>
            <w:tcW w:type="dxa" w:w="1662"/>
          </w:tcPr>
          <w:p>
            <w:r>
              <w:rPr>
                <w:sz w:val="20"/>
              </w:rPr>
              <w:t>3 150 000</w:t>
            </w:r>
          </w:p>
        </w:tc>
        <w:tc>
          <w:tcPr>
            <w:tcW w:type="dxa" w:w="1662"/>
          </w:tcPr>
          <w:p>
            <w:r>
              <w:rPr>
                <w:sz w:val="20"/>
              </w:rPr>
              <w:t>3 050 000</w:t>
            </w:r>
          </w:p>
        </w:tc>
        <w:tc>
          <w:tcPr>
            <w:tcW w:type="dxa" w:w="1330"/>
          </w:tcPr>
          <w:p>
            <w:r>
              <w:rPr>
                <w:sz w:val="20"/>
              </w:rPr>
              <w:t>20 %</w:t>
            </w:r>
          </w:p>
        </w:tc>
        <w:tc>
          <w:tcPr>
            <w:tcW w:type="dxa" w:w="2825"/>
          </w:tcPr>
          <w:p>
            <w:r>
              <w:rPr>
                <w:sz w:val="20"/>
              </w:rPr>
              <w:t>████░░░░░░░░░░░░░░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55"/>
        <w:gridCol w:w="9717"/>
      </w:tblGrid>
      <w:tr>
        <w:tc>
          <w:tcPr>
            <w:tcW w:type="dxa" w:w="255"/>
            <w:shd w:val="clear" w:color="auto" w:fill="1ABC9C"/>
          </w:tcPr>
          <w:p/>
        </w:tc>
        <w:tc>
          <w:tcPr>
            <w:tcW w:type="dxa" w:w="9717"/>
          </w:tcPr>
          <w:p>
            <w:pPr>
              <w:spacing w:after="120"/>
            </w:pPr>
            <w:r>
              <w:rPr>
                <w:b/>
                <w:color w:val="2F3441"/>
                <w:sz w:val="26"/>
              </w:rPr>
              <w:t>DÉCISIONS &amp; PLAN D’ACTION (CHIPS)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624"/>
        <w:gridCol w:w="2624"/>
        <w:gridCol w:w="1749"/>
        <w:gridCol w:w="1575"/>
        <w:gridCol w:w="1400"/>
      </w:tblGrid>
      <w:tr>
        <w:tc>
          <w:tcPr>
            <w:tcW w:type="dxa" w:w="2624"/>
            <w:shd w:val="clear" w:color="auto" w:fill="EEEAFE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Décision</w:t>
            </w:r>
          </w:p>
        </w:tc>
        <w:tc>
          <w:tcPr>
            <w:tcW w:type="dxa" w:w="2624"/>
            <w:shd w:val="clear" w:color="auto" w:fill="EEEAFE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Pourquoi</w:t>
            </w:r>
          </w:p>
        </w:tc>
        <w:tc>
          <w:tcPr>
            <w:tcW w:type="dxa" w:w="1749"/>
            <w:shd w:val="clear" w:color="auto" w:fill="EEEAFE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Responsable</w:t>
            </w:r>
          </w:p>
        </w:tc>
        <w:tc>
          <w:tcPr>
            <w:tcW w:type="dxa" w:w="1575"/>
            <w:shd w:val="clear" w:color="auto" w:fill="EEEAFE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Échéance</w:t>
            </w:r>
          </w:p>
        </w:tc>
        <w:tc>
          <w:tcPr>
            <w:tcW w:type="dxa" w:w="1400"/>
            <w:shd w:val="clear" w:color="auto" w:fill="EEEAFE"/>
          </w:tcPr>
          <w:p>
            <w:pPr>
              <w:jc w:val="center"/>
            </w:pPr>
            <w:r>
              <w:rPr>
                <w:b/>
                <w:color w:val="2F3441"/>
                <w:sz w:val="20"/>
              </w:rPr>
              <w:t>Statut</w:t>
            </w:r>
          </w:p>
        </w:tc>
      </w:tr>
      <w:tr>
        <w:tc>
          <w:tcPr>
            <w:tcW w:type="dxa" w:w="2624"/>
          </w:tcPr>
          <w:p>
            <w:r>
              <w:rPr>
                <w:sz w:val="20"/>
              </w:rPr>
              <w:t>Indexation tarifaire ciblée</w:t>
            </w:r>
          </w:p>
        </w:tc>
        <w:tc>
          <w:tcPr>
            <w:tcW w:type="dxa" w:w="2624"/>
          </w:tcPr>
          <w:p>
            <w:r>
              <w:rPr>
                <w:sz w:val="20"/>
              </w:rPr>
              <w:t>Préserver marge face à inflation</w:t>
            </w:r>
          </w:p>
        </w:tc>
        <w:tc>
          <w:tcPr>
            <w:tcW w:type="dxa" w:w="1749"/>
          </w:tcPr>
          <w:p>
            <w:r>
              <w:rPr>
                <w:sz w:val="20"/>
              </w:rPr>
              <w:t>Direction commerciale</w:t>
            </w:r>
          </w:p>
        </w:tc>
        <w:tc>
          <w:tcPr>
            <w:tcW w:type="dxa" w:w="1575"/>
          </w:tcPr>
          <w:p>
            <w:r>
              <w:rPr>
                <w:sz w:val="20"/>
              </w:rPr>
              <w:t>31/03/2026</w:t>
            </w:r>
          </w:p>
        </w:tc>
        <w:tc>
          <w:tcPr>
            <w:tcW w:type="dxa" w:w="1400"/>
          </w:tcPr>
          <w:p>
            <w:r>
              <w:rPr>
                <w:sz w:val="20"/>
              </w:rPr>
              <w:t>OK</w:t>
            </w:r>
          </w:p>
        </w:tc>
      </w:tr>
      <w:tr>
        <w:tc>
          <w:tcPr>
            <w:tcW w:type="dxa" w:w="2624"/>
          </w:tcPr>
          <w:p>
            <w:r>
              <w:rPr>
                <w:sz w:val="20"/>
              </w:rPr>
              <w:t>Double sourcing pièces A</w:t>
            </w:r>
          </w:p>
        </w:tc>
        <w:tc>
          <w:tcPr>
            <w:tcW w:type="dxa" w:w="2624"/>
          </w:tcPr>
          <w:p>
            <w:r>
              <w:rPr>
                <w:sz w:val="20"/>
              </w:rPr>
              <w:t>Réduire risque fournisseurs critiques</w:t>
            </w:r>
          </w:p>
        </w:tc>
        <w:tc>
          <w:tcPr>
            <w:tcW w:type="dxa" w:w="1749"/>
          </w:tcPr>
          <w:p>
            <w:r>
              <w:rPr>
                <w:sz w:val="20"/>
              </w:rPr>
              <w:t>Achats</w:t>
            </w:r>
          </w:p>
        </w:tc>
        <w:tc>
          <w:tcPr>
            <w:tcW w:type="dxa" w:w="1575"/>
          </w:tcPr>
          <w:p>
            <w:r>
              <w:rPr>
                <w:sz w:val="20"/>
              </w:rPr>
              <w:t>30/06/2026</w:t>
            </w:r>
          </w:p>
        </w:tc>
        <w:tc>
          <w:tcPr>
            <w:tcW w:type="dxa" w:w="1400"/>
          </w:tcPr>
          <w:p>
            <w:r>
              <w:rPr>
                <w:sz w:val="20"/>
              </w:rPr>
              <w:t>En cours</w:t>
            </w:r>
          </w:p>
        </w:tc>
      </w:tr>
      <w:tr>
        <w:tc>
          <w:tcPr>
            <w:tcW w:type="dxa" w:w="2624"/>
          </w:tcPr>
          <w:p>
            <w:r>
              <w:rPr>
                <w:sz w:val="20"/>
              </w:rPr>
              <w:t>Tutorat interne 25 mentors</w:t>
            </w:r>
          </w:p>
        </w:tc>
        <w:tc>
          <w:tcPr>
            <w:tcW w:type="dxa" w:w="2624"/>
          </w:tcPr>
          <w:p>
            <w:r>
              <w:rPr>
                <w:sz w:val="20"/>
              </w:rPr>
              <w:t>Limiter tension recrutements</w:t>
            </w:r>
          </w:p>
        </w:tc>
        <w:tc>
          <w:tcPr>
            <w:tcW w:type="dxa" w:w="1749"/>
          </w:tcPr>
          <w:p>
            <w:r>
              <w:rPr>
                <w:sz w:val="20"/>
              </w:rPr>
              <w:t>RH</w:t>
            </w:r>
          </w:p>
        </w:tc>
        <w:tc>
          <w:tcPr>
            <w:tcW w:type="dxa" w:w="1575"/>
          </w:tcPr>
          <w:p>
            <w:r>
              <w:rPr>
                <w:sz w:val="20"/>
              </w:rPr>
              <w:t>30/09/2026</w:t>
            </w:r>
          </w:p>
        </w:tc>
        <w:tc>
          <w:tcPr>
            <w:tcW w:type="dxa" w:w="1400"/>
          </w:tcPr>
          <w:p>
            <w:r>
              <w:rPr>
                <w:sz w:val="20"/>
              </w:rPr>
              <w:t>En cours</w:t>
            </w:r>
          </w:p>
        </w:tc>
      </w:tr>
      <w:tr>
        <w:tc>
          <w:tcPr>
            <w:tcW w:type="dxa" w:w="2624"/>
          </w:tcPr>
          <w:p>
            <w:r>
              <w:rPr>
                <w:sz w:val="20"/>
              </w:rPr>
              <w:t>Exports ERP automatisés</w:t>
            </w:r>
          </w:p>
        </w:tc>
        <w:tc>
          <w:tcPr>
            <w:tcW w:type="dxa" w:w="2624"/>
          </w:tcPr>
          <w:p>
            <w:r>
              <w:rPr>
                <w:sz w:val="20"/>
              </w:rPr>
              <w:t>Fiabiliser reporting mensuel</w:t>
            </w:r>
          </w:p>
        </w:tc>
        <w:tc>
          <w:tcPr>
            <w:tcW w:type="dxa" w:w="1749"/>
          </w:tcPr>
          <w:p>
            <w:r>
              <w:rPr>
                <w:sz w:val="20"/>
              </w:rPr>
              <w:t>Finance/IT</w:t>
            </w:r>
          </w:p>
        </w:tc>
        <w:tc>
          <w:tcPr>
            <w:tcW w:type="dxa" w:w="1575"/>
          </w:tcPr>
          <w:p>
            <w:r>
              <w:rPr>
                <w:sz w:val="20"/>
              </w:rPr>
              <w:t>31/03/2026</w:t>
            </w:r>
          </w:p>
        </w:tc>
        <w:tc>
          <w:tcPr>
            <w:tcW w:type="dxa" w:w="1400"/>
          </w:tcPr>
          <w:p>
            <w:r>
              <w:rPr>
                <w:sz w:val="20"/>
              </w:rPr>
              <w:t>OK</w:t>
            </w:r>
          </w:p>
        </w:tc>
      </w:tr>
      <w:tr>
        <w:tc>
          <w:tcPr>
            <w:tcW w:type="dxa" w:w="2624"/>
          </w:tcPr>
          <w:p>
            <w:r>
              <w:rPr>
                <w:sz w:val="20"/>
              </w:rPr>
              <w:t>SLA standardisés 3 niveaux</w:t>
            </w:r>
          </w:p>
        </w:tc>
        <w:tc>
          <w:tcPr>
            <w:tcW w:type="dxa" w:w="2624"/>
          </w:tcPr>
          <w:p>
            <w:r>
              <w:rPr>
                <w:sz w:val="20"/>
              </w:rPr>
              <w:t>Harmoniser qualité de service</w:t>
            </w:r>
          </w:p>
        </w:tc>
        <w:tc>
          <w:tcPr>
            <w:tcW w:type="dxa" w:w="1749"/>
          </w:tcPr>
          <w:p>
            <w:r>
              <w:rPr>
                <w:sz w:val="20"/>
              </w:rPr>
              <w:t>Qualité</w:t>
            </w:r>
          </w:p>
        </w:tc>
        <w:tc>
          <w:tcPr>
            <w:tcW w:type="dxa" w:w="1575"/>
          </w:tcPr>
          <w:p>
            <w:r>
              <w:rPr>
                <w:sz w:val="20"/>
              </w:rPr>
              <w:t>31/05/2026</w:t>
            </w:r>
          </w:p>
        </w:tc>
        <w:tc>
          <w:tcPr>
            <w:tcW w:type="dxa" w:w="1400"/>
          </w:tcPr>
          <w:p>
            <w:r>
              <w:rPr>
                <w:sz w:val="20"/>
              </w:rPr>
              <w:t>Planifié</w:t>
            </w:r>
          </w:p>
        </w:tc>
      </w:tr>
    </w:tbl>
    <w:p>
      <w:pPr>
        <w:spacing w:after="120"/>
      </w:pPr>
      <w:r>
        <w:rPr>
          <w:b w:val="0"/>
          <w:i w:val="0"/>
          <w:color w:val="2F3441"/>
          <w:sz w:val="18"/>
        </w:rPr>
        <w:t>Avertissement : exemple éditorial ; vérifier les obligations légales applicables avant diffusion.</w:t>
      </w:r>
    </w:p>
    <w:sectPr w:rsidR="00FC693F" w:rsidRPr="0006063C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454B57"/>
        <w:sz w:val="18"/>
      </w:rPr>
      <w:t>lecoursgratuit.com · Rapport de gestion — Exemple infographie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