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type="auto" w:w="0"/>
        <w:jc w:val="center"/>
        <w:tblLayout w:type="fixed"/>
        <w:tblLook w:firstColumn="1" w:firstRow="1" w:lastColumn="0" w:lastRow="0" w:noHBand="0" w:noVBand="1" w:val="04A0"/>
      </w:tblPr>
      <w:tblGrid>
        <w:gridCol w:w="6183"/>
        <w:gridCol w:w="3789"/>
      </w:tblGrid>
      <w:tr>
        <w:tc>
          <w:tcPr>
            <w:tcW w:type="dxa" w:w="6183"/>
            <w:shd w:val="clear" w:color="auto" w:fill="D9822B"/>
          </w:tcPr>
          <w:p>
            <w:r>
              <w:rPr>
                <w:b/>
                <w:color w:val="FFFFFF"/>
                <w:sz w:val="36"/>
              </w:rPr>
              <w:t>RAPPORT DE GESTION — SAS TECHNICA SOLUTIONS</w:t>
            </w:r>
          </w:p>
        </w:tc>
        <w:tc>
          <w:tcPr>
            <w:tcW w:type="dxa" w:w="3789"/>
            <w:shd w:val="clear" w:color="auto" w:fill="D9822B"/>
          </w:tcPr>
          <w:p>
            <w:pPr>
              <w:jc w:val="right"/>
            </w:pPr>
            <w:r>
              <w:rPr>
                <w:b/>
                <w:color w:val="FFFFFF"/>
                <w:sz w:val="22"/>
              </w:rPr>
              <w:t>Exercice clos le : 31/12/2025  |  Réf. : RG-2025</w:t>
            </w:r>
          </w:p>
        </w:tc>
      </w:tr>
    </w:tbl>
    <w:p>
      <w:pPr>
        <w:spacing w:after="160"/>
      </w:pPr>
    </w:p>
    <w:tbl>
      <w:tblPr>
        <w:tblW w:type="auto" w:w="0"/>
        <w:tblLayout w:type="fixed"/>
        <w:tblLook w:firstColumn="1" w:firstRow="1" w:lastColumn="0" w:lastRow="0" w:noHBand="0" w:noVBand="1" w:val="04A0"/>
      </w:tblPr>
      <w:tblGrid>
        <w:gridCol w:w="227"/>
        <w:gridCol w:w="9745"/>
      </w:tblGrid>
      <w:tr>
        <w:tc>
          <w:tcPr>
            <w:tcW w:type="dxa" w:w="227"/>
            <w:shd w:val="clear" w:color="auto" w:fill="10B981"/>
          </w:tcPr>
          <w:p/>
        </w:tc>
        <w:tc>
          <w:tcPr>
            <w:tcW w:type="dxa" w:w="9745"/>
          </w:tcPr>
          <w:p>
            <w:pPr>
              <w:spacing w:after="120"/>
            </w:pPr>
            <w:r>
              <w:rPr>
                <w:b/>
                <w:color w:val="2E4057"/>
                <w:sz w:val="26"/>
              </w:rPr>
              <w:t>INFORMATIONS GÉNÉRALES DE LA SOCIÉTÉ</w:t>
            </w:r>
          </w:p>
        </w:tc>
      </w:tr>
    </w:tbl>
    <w:tbl>
      <w:tblPr>
        <w:tblW w:type="auto" w:w="0"/>
        <w:jc w:val="center"/>
        <w:tblLayout w:type="fixed"/>
        <w:tblLook w:firstColumn="1" w:firstRow="1" w:lastColumn="0" w:lastRow="0" w:noHBand="0" w:noVBand="1" w:val="04A0"/>
      </w:tblPr>
      <w:tblGrid>
        <w:gridCol w:w="2493"/>
        <w:gridCol w:w="1425"/>
        <w:gridCol w:w="1781"/>
        <w:gridCol w:w="2849"/>
        <w:gridCol w:w="1425"/>
      </w:tblGrid>
      <w:tr>
        <w:tc>
          <w:tcPr>
            <w:tcW w:type="dxa" w:w="2493"/>
            <w:shd w:val="clear" w:color="auto" w:fill="F5F7F9"/>
          </w:tcPr>
          <w:p>
            <w:r>
              <w:rPr>
                <w:b/>
                <w:color w:val="2E4057"/>
                <w:sz w:val="20"/>
              </w:rPr>
              <w:t>Dénomination sociale</w:t>
            </w:r>
          </w:p>
        </w:tc>
        <w:tc>
          <w:tcPr>
            <w:tcW w:type="dxa" w:w="1425"/>
            <w:shd w:val="clear" w:color="auto" w:fill="F5F7F9"/>
          </w:tcPr>
          <w:p>
            <w:r>
              <w:rPr>
                <w:b/>
                <w:color w:val="2E4057"/>
                <w:sz w:val="20"/>
              </w:rPr>
              <w:t>Forme</w:t>
            </w:r>
          </w:p>
        </w:tc>
        <w:tc>
          <w:tcPr>
            <w:tcW w:type="dxa" w:w="1781"/>
            <w:shd w:val="clear" w:color="auto" w:fill="F5F7F9"/>
          </w:tcPr>
          <w:p>
            <w:r>
              <w:rPr>
                <w:b/>
                <w:color w:val="2E4057"/>
                <w:sz w:val="20"/>
              </w:rPr>
              <w:t>Capital social (€)</w:t>
            </w:r>
          </w:p>
        </w:tc>
        <w:tc>
          <w:tcPr>
            <w:tcW w:type="dxa" w:w="2849"/>
            <w:shd w:val="clear" w:color="auto" w:fill="F5F7F9"/>
          </w:tcPr>
          <w:p>
            <w:r>
              <w:rPr>
                <w:b/>
                <w:color w:val="2E4057"/>
                <w:sz w:val="20"/>
              </w:rPr>
              <w:t>Siège social</w:t>
            </w:r>
          </w:p>
        </w:tc>
        <w:tc>
          <w:tcPr>
            <w:tcW w:type="dxa" w:w="1425"/>
            <w:shd w:val="clear" w:color="auto" w:fill="F5F7F9"/>
          </w:tcPr>
          <w:p>
            <w:r>
              <w:rPr>
                <w:b/>
                <w:color w:val="2E4057"/>
                <w:sz w:val="20"/>
              </w:rPr>
              <w:t>RCS</w:t>
            </w:r>
          </w:p>
        </w:tc>
      </w:tr>
      <w:tr>
        <w:tc>
          <w:tcPr>
            <w:tcW w:type="dxa" w:w="2493"/>
          </w:tcPr>
          <w:p>
            <w:r>
              <w:rPr>
                <w:sz w:val="20"/>
              </w:rPr>
              <w:t>TECHNICA SOLUTIONS</w:t>
            </w:r>
          </w:p>
        </w:tc>
        <w:tc>
          <w:tcPr>
            <w:tcW w:type="dxa" w:w="1425"/>
          </w:tcPr>
          <w:p>
            <w:r>
              <w:rPr>
                <w:sz w:val="20"/>
              </w:rPr>
              <w:t>SAS</w:t>
            </w:r>
          </w:p>
        </w:tc>
        <w:tc>
          <w:tcPr>
            <w:tcW w:type="dxa" w:w="1781"/>
          </w:tcPr>
          <w:p>
            <w:r>
              <w:rPr>
                <w:sz w:val="20"/>
              </w:rPr>
              <w:t>150 000</w:t>
            </w:r>
          </w:p>
        </w:tc>
        <w:tc>
          <w:tcPr>
            <w:tcW w:type="dxa" w:w="2849"/>
          </w:tcPr>
          <w:p>
            <w:r>
              <w:rPr>
                <w:sz w:val="20"/>
              </w:rPr>
              <w:t>12 rue des Arts, 69007 Lyon</w:t>
            </w:r>
          </w:p>
        </w:tc>
        <w:tc>
          <w:tcPr>
            <w:tcW w:type="dxa" w:w="1425"/>
          </w:tcPr>
          <w:p>
            <w:r>
              <w:rPr>
                <w:sz w:val="20"/>
              </w:rPr>
              <w:t>Lyon 812 345 678</w:t>
            </w:r>
          </w:p>
        </w:tc>
      </w:tr>
    </w:tbl>
    <w:tbl>
      <w:tblPr>
        <w:tblW w:type="auto" w:w="0"/>
        <w:jc w:val="center"/>
        <w:tblLayout w:type="fixed"/>
        <w:tblLook w:firstColumn="1" w:firstRow="1" w:lastColumn="0" w:lastRow="0" w:noHBand="0" w:noVBand="1" w:val="04A0"/>
      </w:tblPr>
      <w:tblGrid>
        <w:gridCol w:w="3162"/>
        <w:gridCol w:w="4135"/>
        <w:gridCol w:w="2675"/>
      </w:tblGrid>
      <w:tr>
        <w:tc>
          <w:tcPr>
            <w:tcW w:type="dxa" w:w="3162"/>
            <w:shd w:val="clear" w:color="auto" w:fill="F5F7F9"/>
          </w:tcPr>
          <w:p>
            <w:r>
              <w:rPr>
                <w:b/>
                <w:color w:val="2E4057"/>
                <w:sz w:val="20"/>
              </w:rPr>
              <w:t>Président</w:t>
            </w:r>
          </w:p>
        </w:tc>
        <w:tc>
          <w:tcPr>
            <w:tcW w:type="dxa" w:w="4135"/>
            <w:shd w:val="clear" w:color="auto" w:fill="F5F7F9"/>
          </w:tcPr>
          <w:p>
            <w:r>
              <w:rPr>
                <w:b/>
                <w:color w:val="2E4057"/>
                <w:sz w:val="20"/>
              </w:rPr>
              <w:t>Commissaire aux comptes</w:t>
            </w:r>
          </w:p>
        </w:tc>
        <w:tc>
          <w:tcPr>
            <w:tcW w:type="dxa" w:w="2675"/>
            <w:shd w:val="clear" w:color="auto" w:fill="F5F7F9"/>
          </w:tcPr>
          <w:p>
            <w:r>
              <w:rPr>
                <w:b/>
                <w:color w:val="2E4057"/>
                <w:sz w:val="20"/>
              </w:rPr>
              <w:t>Période de l’exercice</w:t>
            </w:r>
          </w:p>
        </w:tc>
      </w:tr>
      <w:tr>
        <w:tc>
          <w:tcPr>
            <w:tcW w:type="dxa" w:w="3162"/>
          </w:tcPr>
          <w:p>
            <w:r>
              <w:rPr>
                <w:sz w:val="20"/>
              </w:rPr>
              <w:t>Camille BERNARD</w:t>
            </w:r>
          </w:p>
        </w:tc>
        <w:tc>
          <w:tcPr>
            <w:tcW w:type="dxa" w:w="4135"/>
          </w:tcPr>
          <w:p>
            <w:r>
              <w:rPr>
                <w:sz w:val="20"/>
              </w:rPr>
              <w:t>Cabinet DURAND &amp; Associés</w:t>
            </w:r>
          </w:p>
        </w:tc>
        <w:tc>
          <w:tcPr>
            <w:tcW w:type="dxa" w:w="2675"/>
          </w:tcPr>
          <w:p>
            <w:r>
              <w:rPr>
                <w:sz w:val="20"/>
              </w:rPr>
              <w:t>01/01/2025 — 31/12/2025</w:t>
            </w:r>
          </w:p>
        </w:tc>
      </w:tr>
    </w:tbl>
    <w:p>
      <w:pPr>
        <w:spacing w:after="120"/>
      </w:pPr>
      <w:r>
        <w:rPr>
          <w:b w:val="0"/>
          <w:i w:val="0"/>
          <w:color w:val="12141A"/>
          <w:sz w:val="22"/>
        </w:rPr>
      </w:r>
    </w:p>
    <w:tbl>
      <w:tblPr>
        <w:tblW w:type="auto" w:w="0"/>
        <w:tblLayout w:type="fixed"/>
        <w:tblLook w:firstColumn="1" w:firstRow="1" w:lastColumn="0" w:lastRow="0" w:noHBand="0" w:noVBand="1" w:val="04A0"/>
      </w:tblPr>
      <w:tblGrid>
        <w:gridCol w:w="227"/>
        <w:gridCol w:w="9745"/>
      </w:tblGrid>
      <w:tr>
        <w:tc>
          <w:tcPr>
            <w:tcW w:type="dxa" w:w="227"/>
            <w:shd w:val="clear" w:color="auto" w:fill="10B981"/>
          </w:tcPr>
          <w:p/>
        </w:tc>
        <w:tc>
          <w:tcPr>
            <w:tcW w:type="dxa" w:w="9745"/>
          </w:tcPr>
          <w:p>
            <w:pPr>
              <w:spacing w:after="120"/>
            </w:pPr>
            <w:r>
              <w:rPr>
                <w:b/>
                <w:color w:val="2E4057"/>
                <w:sz w:val="26"/>
              </w:rPr>
              <w:t>LETTRE D’OUVERTURE DU PRÉSIDENT</w:t>
            </w:r>
          </w:p>
        </w:tc>
      </w:tr>
    </w:tbl>
    <w:p>
      <w:pPr>
        <w:spacing w:after="120"/>
      </w:pPr>
      <w:r>
        <w:rPr>
          <w:b w:val="0"/>
          <w:i w:val="0"/>
          <w:color w:val="12141A"/>
          <w:sz w:val="22"/>
        </w:rPr>
        <w:t>L’année 2025 a confirmé la trajectoire engagée : Technica Solutions a consolidé son cœur d’activité — services techniques pour sites industriels et offre logicielle de suivi — tout en préparant l’élargissement vers la maintenance prédictive. Le chiffre d’affaires atteint 12,8 M€ (+17 %), l’EBITDA 1,9 M€ (+0,8 pt), porté par des contrats cadres dans l’agro et le textile et par une meilleure utilisation des équipes sur sites. Nous avons accepté des renoncements utiles (arrêt d’un produit peu contributif) et assumé des investissements ciblés (ERP, sécurité). Notre risque principal est la tension ponctuelle sur les profils qualifiés ; la réponse passe par le tutorat interne et un partenariat écoles. Pour 2026, l’ambition est lisible : généraliser l’ordonnancement assisté par IA sur trois sites pilotes, sécuriser un financement moyen terme et stabiliser notre marge opérationnelle au-dessus de 15 %. Je remercie les équipes pour la qualité de service tenue dans des contextes exigeants, ainsi que nos partenaires industriels qui ont co-construit des standards pragmatiques. Ce rapport présente, sans emphase, les résultats, les limites rencontrées et les décisions qui ouvrent la suite.</w:t>
      </w:r>
    </w:p>
    <w:tbl>
      <w:tblPr>
        <w:tblW w:type="auto" w:w="0"/>
        <w:tblLayout w:type="fixed"/>
        <w:tblLook w:firstColumn="1" w:firstRow="1" w:lastColumn="0" w:lastRow="0" w:noHBand="0" w:noVBand="1" w:val="04A0"/>
      </w:tblPr>
      <w:tblGrid>
        <w:gridCol w:w="227"/>
        <w:gridCol w:w="9745"/>
      </w:tblGrid>
      <w:tr>
        <w:tc>
          <w:tcPr>
            <w:tcW w:type="dxa" w:w="227"/>
            <w:shd w:val="clear" w:color="auto" w:fill="10B981"/>
          </w:tcPr>
          <w:p/>
        </w:tc>
        <w:tc>
          <w:tcPr>
            <w:tcW w:type="dxa" w:w="9745"/>
          </w:tcPr>
          <w:p>
            <w:pPr>
              <w:spacing w:after="120"/>
            </w:pPr>
            <w:r>
              <w:rPr>
                <w:b/>
                <w:color w:val="2E4057"/>
                <w:sz w:val="26"/>
              </w:rPr>
              <w:t>FAITS MARQUANTS DE L’EXERCICE</w:t>
            </w:r>
          </w:p>
        </w:tc>
      </w:tr>
    </w:tbl>
    <w:tbl>
      <w:tblPr>
        <w:tblW w:type="auto" w:w="0"/>
        <w:jc w:val="center"/>
        <w:tblLayout w:type="fixed"/>
        <w:tblLook w:firstColumn="1" w:firstRow="1" w:lastColumn="0" w:lastRow="0" w:noHBand="0" w:noVBand="1" w:val="04A0"/>
      </w:tblPr>
      <w:tblGrid>
        <w:gridCol w:w="1891"/>
        <w:gridCol w:w="3611"/>
        <w:gridCol w:w="2751"/>
        <w:gridCol w:w="1719"/>
      </w:tblGrid>
      <w:tr>
        <w:tc>
          <w:tcPr>
            <w:tcW w:type="dxa" w:w="1891"/>
            <w:shd w:val="clear" w:color="auto" w:fill="F5F7F9"/>
          </w:tcPr>
          <w:p>
            <w:pPr>
              <w:jc w:val="center"/>
            </w:pPr>
            <w:r>
              <w:rPr>
                <w:b/>
                <w:color w:val="2E4057"/>
                <w:sz w:val="20"/>
              </w:rPr>
              <w:t>Thème</w:t>
            </w:r>
          </w:p>
        </w:tc>
        <w:tc>
          <w:tcPr>
            <w:tcW w:type="dxa" w:w="3611"/>
            <w:shd w:val="clear" w:color="auto" w:fill="F5F7F9"/>
          </w:tcPr>
          <w:p>
            <w:pPr>
              <w:jc w:val="center"/>
            </w:pPr>
            <w:r>
              <w:rPr>
                <w:b/>
                <w:color w:val="2E4057"/>
                <w:sz w:val="20"/>
              </w:rPr>
              <w:t>Description courte</w:t>
            </w:r>
          </w:p>
        </w:tc>
        <w:tc>
          <w:tcPr>
            <w:tcW w:type="dxa" w:w="2751"/>
            <w:shd w:val="clear" w:color="auto" w:fill="F5F7F9"/>
          </w:tcPr>
          <w:p>
            <w:pPr>
              <w:jc w:val="center"/>
            </w:pPr>
            <w:r>
              <w:rPr>
                <w:b/>
                <w:color w:val="2E4057"/>
                <w:sz w:val="20"/>
              </w:rPr>
              <w:t>Impact constaté</w:t>
            </w:r>
          </w:p>
        </w:tc>
        <w:tc>
          <w:tcPr>
            <w:tcW w:type="dxa" w:w="1719"/>
            <w:shd w:val="clear" w:color="auto" w:fill="F5F7F9"/>
          </w:tcPr>
          <w:p>
            <w:pPr>
              <w:jc w:val="center"/>
            </w:pPr>
            <w:r>
              <w:rPr>
                <w:b/>
                <w:color w:val="2E4057"/>
                <w:sz w:val="20"/>
              </w:rPr>
              <w:t>Preuve / Lien</w:t>
            </w:r>
          </w:p>
        </w:tc>
      </w:tr>
      <w:tr>
        <w:tc>
          <w:tcPr>
            <w:tcW w:type="dxa" w:w="1891"/>
          </w:tcPr>
          <w:p>
            <w:r>
              <w:rPr>
                <w:sz w:val="20"/>
              </w:rPr>
              <w:t>Offre Service Pro</w:t>
            </w:r>
          </w:p>
        </w:tc>
        <w:tc>
          <w:tcPr>
            <w:tcW w:type="dxa" w:w="3611"/>
          </w:tcPr>
          <w:p>
            <w:r>
              <w:rPr>
                <w:sz w:val="20"/>
              </w:rPr>
              <w:t>Lancement contrat de maintenance clés en main (3 niveaux de SLA)</w:t>
            </w:r>
          </w:p>
        </w:tc>
        <w:tc>
          <w:tcPr>
            <w:tcW w:type="dxa" w:w="2751"/>
          </w:tcPr>
          <w:p>
            <w:r>
              <w:rPr>
                <w:sz w:val="20"/>
              </w:rPr>
              <w:t>+3 pts marge sur sites pilotes</w:t>
            </w:r>
          </w:p>
        </w:tc>
        <w:tc>
          <w:tcPr>
            <w:tcW w:type="dxa" w:w="1719"/>
          </w:tcPr>
          <w:p>
            <w:r>
              <w:rPr>
                <w:sz w:val="20"/>
              </w:rPr>
              <w:t>3 contrats signés (Orion, MecaNord, Agrovia)</w:t>
            </w:r>
          </w:p>
        </w:tc>
      </w:tr>
      <w:tr>
        <w:tc>
          <w:tcPr>
            <w:tcW w:type="dxa" w:w="1891"/>
          </w:tcPr>
          <w:p>
            <w:r>
              <w:rPr>
                <w:sz w:val="20"/>
              </w:rPr>
              <w:t>Acquisition MecaSoft</w:t>
            </w:r>
          </w:p>
        </w:tc>
        <w:tc>
          <w:tcPr>
            <w:tcW w:type="dxa" w:w="3611"/>
          </w:tcPr>
          <w:p>
            <w:r>
              <w:rPr>
                <w:sz w:val="20"/>
              </w:rPr>
              <w:t>Rachat éditeur niche (planification atelier)</w:t>
            </w:r>
          </w:p>
        </w:tc>
        <w:tc>
          <w:tcPr>
            <w:tcW w:type="dxa" w:w="2751"/>
          </w:tcPr>
          <w:p>
            <w:r>
              <w:rPr>
                <w:sz w:val="20"/>
              </w:rPr>
              <w:t>Intégration module planning T3</w:t>
            </w:r>
          </w:p>
        </w:tc>
        <w:tc>
          <w:tcPr>
            <w:tcW w:type="dxa" w:w="1719"/>
          </w:tcPr>
          <w:p>
            <w:r>
              <w:rPr>
                <w:sz w:val="20"/>
              </w:rPr>
              <w:t>PV de clôture · Plan d’intégration</w:t>
            </w:r>
          </w:p>
        </w:tc>
      </w:tr>
      <w:tr>
        <w:tc>
          <w:tcPr>
            <w:tcW w:type="dxa" w:w="1891"/>
          </w:tcPr>
          <w:p>
            <w:r>
              <w:rPr>
                <w:sz w:val="20"/>
              </w:rPr>
              <w:t>Déploiement ERP</w:t>
            </w:r>
          </w:p>
        </w:tc>
        <w:tc>
          <w:tcPr>
            <w:tcW w:type="dxa" w:w="3611"/>
          </w:tcPr>
          <w:p>
            <w:r>
              <w:rPr>
                <w:sz w:val="20"/>
              </w:rPr>
              <w:t>Migration finance/achats/logistique (cloud)</w:t>
            </w:r>
          </w:p>
        </w:tc>
        <w:tc>
          <w:tcPr>
            <w:tcW w:type="dxa" w:w="2751"/>
          </w:tcPr>
          <w:p>
            <w:r>
              <w:rPr>
                <w:sz w:val="20"/>
              </w:rPr>
              <w:t>Réduction litiges fournisseurs (-22 %)</w:t>
            </w:r>
          </w:p>
        </w:tc>
        <w:tc>
          <w:tcPr>
            <w:tcW w:type="dxa" w:w="1719"/>
          </w:tcPr>
          <w:p>
            <w:r>
              <w:rPr>
                <w:sz w:val="20"/>
              </w:rPr>
              <w:t>Procédure + KPI mensuels</w:t>
            </w:r>
          </w:p>
        </w:tc>
      </w:tr>
      <w:tr>
        <w:tc>
          <w:tcPr>
            <w:tcW w:type="dxa" w:w="1891"/>
          </w:tcPr>
          <w:p>
            <w:r>
              <w:rPr>
                <w:sz w:val="20"/>
              </w:rPr>
              <w:t>Contrat cadre Orion</w:t>
            </w:r>
          </w:p>
        </w:tc>
        <w:tc>
          <w:tcPr>
            <w:tcW w:type="dxa" w:w="3611"/>
          </w:tcPr>
          <w:p>
            <w:r>
              <w:rPr>
                <w:sz w:val="20"/>
              </w:rPr>
              <w:t>Contrat 36 mois multi-sites (agro)</w:t>
            </w:r>
          </w:p>
        </w:tc>
        <w:tc>
          <w:tcPr>
            <w:tcW w:type="dxa" w:w="2751"/>
          </w:tcPr>
          <w:p>
            <w:r>
              <w:rPr>
                <w:sz w:val="20"/>
              </w:rPr>
              <w:t>CA récurrent 2,1 M€/an</w:t>
            </w:r>
          </w:p>
        </w:tc>
        <w:tc>
          <w:tcPr>
            <w:tcW w:type="dxa" w:w="1719"/>
          </w:tcPr>
          <w:p>
            <w:r>
              <w:rPr>
                <w:sz w:val="20"/>
              </w:rPr>
              <w:t>Contrat signé · SLA</w:t>
            </w:r>
          </w:p>
        </w:tc>
      </w:tr>
      <w:tr>
        <w:tc>
          <w:tcPr>
            <w:tcW w:type="dxa" w:w="1891"/>
          </w:tcPr>
          <w:p>
            <w:r>
              <w:rPr>
                <w:sz w:val="20"/>
              </w:rPr>
              <w:t>ISO 9001</w:t>
            </w:r>
          </w:p>
        </w:tc>
        <w:tc>
          <w:tcPr>
            <w:tcW w:type="dxa" w:w="3611"/>
          </w:tcPr>
          <w:p>
            <w:r>
              <w:rPr>
                <w:sz w:val="20"/>
              </w:rPr>
              <w:t>Renouvellement sans réserve</w:t>
            </w:r>
          </w:p>
        </w:tc>
        <w:tc>
          <w:tcPr>
            <w:tcW w:type="dxa" w:w="2751"/>
          </w:tcPr>
          <w:p>
            <w:r>
              <w:rPr>
                <w:sz w:val="20"/>
              </w:rPr>
              <w:t>Stabilisation processus critiques</w:t>
            </w:r>
          </w:p>
        </w:tc>
        <w:tc>
          <w:tcPr>
            <w:tcW w:type="dxa" w:w="1719"/>
          </w:tcPr>
          <w:p>
            <w:r>
              <w:rPr>
                <w:sz w:val="20"/>
              </w:rPr>
              <w:t>Rapport d’audit externe</w:t>
            </w:r>
          </w:p>
        </w:tc>
      </w:tr>
    </w:tbl>
    <w:tbl>
      <w:tblPr>
        <w:tblW w:type="auto" w:w="0"/>
        <w:tblLayout w:type="fixed"/>
        <w:tblLook w:firstColumn="1" w:firstRow="1" w:lastColumn="0" w:lastRow="0" w:noHBand="0" w:noVBand="1" w:val="04A0"/>
      </w:tblPr>
      <w:tblGrid>
        <w:gridCol w:w="227"/>
        <w:gridCol w:w="9745"/>
      </w:tblGrid>
      <w:tr>
        <w:tc>
          <w:tcPr>
            <w:tcW w:type="dxa" w:w="227"/>
            <w:shd w:val="clear" w:color="auto" w:fill="D9822B"/>
          </w:tcPr>
          <w:p/>
        </w:tc>
        <w:tc>
          <w:tcPr>
            <w:tcW w:type="dxa" w:w="9745"/>
          </w:tcPr>
          <w:p>
            <w:pPr>
              <w:spacing w:after="120"/>
            </w:pPr>
            <w:r>
              <w:rPr>
                <w:b/>
                <w:color w:val="2E4057"/>
                <w:sz w:val="26"/>
              </w:rPr>
              <w:t>ANALYSE DE L’ACTIVITÉ ET DES RÉSULTATS</w:t>
            </w:r>
          </w:p>
        </w:tc>
      </w:tr>
    </w:tbl>
    <w:p>
      <w:pPr>
        <w:spacing w:after="120"/>
      </w:pPr>
      <w:r>
        <w:rPr>
          <w:b w:val="0"/>
          <w:i w:val="0"/>
          <w:color w:val="2E4057"/>
          <w:sz w:val="20"/>
        </w:rPr>
        <w:t>Les indicateurs ci-dessous sont définis et sourcés ; les variations sont commentées dans la note de lecture.</w:t>
      </w:r>
    </w:p>
    <w:tbl>
      <w:tblPr>
        <w:tblW w:type="auto" w:w="0"/>
        <w:jc w:val="center"/>
        <w:tblLayout w:type="fixed"/>
        <w:tblLook w:firstColumn="1" w:firstRow="1" w:lastColumn="0" w:lastRow="0" w:noHBand="0" w:noVBand="1" w:val="04A0"/>
      </w:tblPr>
      <w:tblGrid>
        <w:gridCol w:w="1930"/>
        <w:gridCol w:w="2573"/>
        <w:gridCol w:w="1448"/>
        <w:gridCol w:w="1448"/>
        <w:gridCol w:w="1126"/>
        <w:gridCol w:w="1448"/>
      </w:tblGrid>
      <w:tr>
        <w:tc>
          <w:tcPr>
            <w:tcW w:type="dxa" w:w="1930"/>
            <w:shd w:val="clear" w:color="auto" w:fill="F5F7F9"/>
          </w:tcPr>
          <w:p>
            <w:pPr>
              <w:jc w:val="center"/>
            </w:pPr>
            <w:r>
              <w:rPr>
                <w:b/>
                <w:color w:val="2E4057"/>
                <w:sz w:val="20"/>
              </w:rPr>
              <w:t>Indicateur</w:t>
            </w:r>
          </w:p>
        </w:tc>
        <w:tc>
          <w:tcPr>
            <w:tcW w:type="dxa" w:w="2573"/>
            <w:shd w:val="clear" w:color="auto" w:fill="F5F7F9"/>
          </w:tcPr>
          <w:p>
            <w:pPr>
              <w:jc w:val="center"/>
            </w:pPr>
            <w:r>
              <w:rPr>
                <w:b/>
                <w:color w:val="2E4057"/>
                <w:sz w:val="20"/>
              </w:rPr>
              <w:t>Définition</w:t>
            </w:r>
          </w:p>
        </w:tc>
        <w:tc>
          <w:tcPr>
            <w:tcW w:type="dxa" w:w="1448"/>
            <w:shd w:val="clear" w:color="auto" w:fill="F5F7F9"/>
          </w:tcPr>
          <w:p>
            <w:pPr>
              <w:jc w:val="center"/>
            </w:pPr>
            <w:r>
              <w:rPr>
                <w:b/>
                <w:color w:val="2E4057"/>
                <w:sz w:val="20"/>
              </w:rPr>
              <w:t>Exercice 2025</w:t>
            </w:r>
          </w:p>
        </w:tc>
        <w:tc>
          <w:tcPr>
            <w:tcW w:type="dxa" w:w="1448"/>
            <w:shd w:val="clear" w:color="auto" w:fill="F5F7F9"/>
          </w:tcPr>
          <w:p>
            <w:pPr>
              <w:jc w:val="center"/>
            </w:pPr>
            <w:r>
              <w:rPr>
                <w:b/>
                <w:color w:val="2E4057"/>
                <w:sz w:val="20"/>
              </w:rPr>
              <w:t>Exercice 2024</w:t>
            </w:r>
          </w:p>
        </w:tc>
        <w:tc>
          <w:tcPr>
            <w:tcW w:type="dxa" w:w="1126"/>
            <w:shd w:val="clear" w:color="auto" w:fill="F5F7F9"/>
          </w:tcPr>
          <w:p>
            <w:pPr>
              <w:jc w:val="center"/>
            </w:pPr>
            <w:r>
              <w:rPr>
                <w:b/>
                <w:color w:val="2E4057"/>
                <w:sz w:val="20"/>
              </w:rPr>
              <w:t>Écart</w:t>
            </w:r>
          </w:p>
        </w:tc>
        <w:tc>
          <w:tcPr>
            <w:tcW w:type="dxa" w:w="1448"/>
            <w:shd w:val="clear" w:color="auto" w:fill="F5F7F9"/>
          </w:tcPr>
          <w:p>
            <w:pPr>
              <w:jc w:val="center"/>
            </w:pPr>
            <w:r>
              <w:rPr>
                <w:b/>
                <w:color w:val="2E4057"/>
                <w:sz w:val="20"/>
              </w:rPr>
              <w:t>Source</w:t>
            </w:r>
          </w:p>
        </w:tc>
      </w:tr>
      <w:tr>
        <w:tc>
          <w:tcPr>
            <w:tcW w:type="dxa" w:w="1930"/>
          </w:tcPr>
          <w:p>
            <w:r>
              <w:rPr>
                <w:sz w:val="20"/>
              </w:rPr>
              <w:t>Chiffre d’affaires (€)</w:t>
            </w:r>
          </w:p>
        </w:tc>
        <w:tc>
          <w:tcPr>
            <w:tcW w:type="dxa" w:w="2573"/>
          </w:tcPr>
          <w:p>
            <w:r>
              <w:rPr>
                <w:sz w:val="20"/>
              </w:rPr>
              <w:t>Total HT (France + export)</w:t>
            </w:r>
          </w:p>
        </w:tc>
        <w:tc>
          <w:tcPr>
            <w:tcW w:type="dxa" w:w="1448"/>
          </w:tcPr>
          <w:p>
            <w:r>
              <w:rPr>
                <w:sz w:val="20"/>
              </w:rPr>
              <w:t>12 800 000</w:t>
            </w:r>
          </w:p>
        </w:tc>
        <w:tc>
          <w:tcPr>
            <w:tcW w:type="dxa" w:w="1448"/>
          </w:tcPr>
          <w:p>
            <w:r>
              <w:rPr>
                <w:sz w:val="20"/>
              </w:rPr>
              <w:t>10 940 000</w:t>
            </w:r>
          </w:p>
        </w:tc>
        <w:tc>
          <w:tcPr>
            <w:tcW w:type="dxa" w:w="1126"/>
          </w:tcPr>
          <w:p>
            <w:r>
              <w:rPr>
                <w:sz w:val="20"/>
              </w:rPr>
              <w:t>+17 %</w:t>
            </w:r>
          </w:p>
        </w:tc>
        <w:tc>
          <w:tcPr>
            <w:tcW w:type="dxa" w:w="1448"/>
          </w:tcPr>
          <w:p>
            <w:r>
              <w:rPr>
                <w:sz w:val="20"/>
              </w:rPr>
              <w:t>ERP</w:t>
            </w:r>
          </w:p>
        </w:tc>
      </w:tr>
      <w:tr>
        <w:tc>
          <w:tcPr>
            <w:tcW w:type="dxa" w:w="1930"/>
          </w:tcPr>
          <w:p>
            <w:r>
              <w:rPr>
                <w:sz w:val="20"/>
              </w:rPr>
              <w:t>Marge brute (%)</w:t>
            </w:r>
          </w:p>
        </w:tc>
        <w:tc>
          <w:tcPr>
            <w:tcW w:type="dxa" w:w="2573"/>
          </w:tcPr>
          <w:p>
            <w:r>
              <w:rPr>
                <w:sz w:val="20"/>
              </w:rPr>
              <w:t>(CA - coûts directs) / CA</w:t>
            </w:r>
          </w:p>
        </w:tc>
        <w:tc>
          <w:tcPr>
            <w:tcW w:type="dxa" w:w="1448"/>
          </w:tcPr>
          <w:p>
            <w:r>
              <w:rPr>
                <w:sz w:val="20"/>
              </w:rPr>
              <w:t>34,6 %</w:t>
            </w:r>
          </w:p>
        </w:tc>
        <w:tc>
          <w:tcPr>
            <w:tcW w:type="dxa" w:w="1448"/>
          </w:tcPr>
          <w:p>
            <w:r>
              <w:rPr>
                <w:sz w:val="20"/>
              </w:rPr>
              <w:t>33,1 %</w:t>
            </w:r>
          </w:p>
        </w:tc>
        <w:tc>
          <w:tcPr>
            <w:tcW w:type="dxa" w:w="1126"/>
          </w:tcPr>
          <w:p>
            <w:r>
              <w:rPr>
                <w:sz w:val="20"/>
              </w:rPr>
              <w:t>+1,5 pt</w:t>
            </w:r>
          </w:p>
        </w:tc>
        <w:tc>
          <w:tcPr>
            <w:tcW w:type="dxa" w:w="1448"/>
          </w:tcPr>
          <w:p>
            <w:r>
              <w:rPr>
                <w:sz w:val="20"/>
              </w:rPr>
              <w:t>ERP / Contrôle de gestion</w:t>
            </w:r>
          </w:p>
        </w:tc>
      </w:tr>
      <w:tr>
        <w:tc>
          <w:tcPr>
            <w:tcW w:type="dxa" w:w="1930"/>
          </w:tcPr>
          <w:p>
            <w:r>
              <w:rPr>
                <w:sz w:val="20"/>
              </w:rPr>
              <w:t>EBITDA (€)</w:t>
            </w:r>
          </w:p>
        </w:tc>
        <w:tc>
          <w:tcPr>
            <w:tcW w:type="dxa" w:w="2573"/>
          </w:tcPr>
          <w:p>
            <w:r>
              <w:rPr>
                <w:sz w:val="20"/>
              </w:rPr>
              <w:t>Résultat op. avant dotations</w:t>
            </w:r>
          </w:p>
        </w:tc>
        <w:tc>
          <w:tcPr>
            <w:tcW w:type="dxa" w:w="1448"/>
          </w:tcPr>
          <w:p>
            <w:r>
              <w:rPr>
                <w:sz w:val="20"/>
              </w:rPr>
              <w:t>1 900 000</w:t>
            </w:r>
          </w:p>
        </w:tc>
        <w:tc>
          <w:tcPr>
            <w:tcW w:type="dxa" w:w="1448"/>
          </w:tcPr>
          <w:p>
            <w:r>
              <w:rPr>
                <w:sz w:val="20"/>
              </w:rPr>
              <w:t>1 420 000</w:t>
            </w:r>
          </w:p>
        </w:tc>
        <w:tc>
          <w:tcPr>
            <w:tcW w:type="dxa" w:w="1126"/>
          </w:tcPr>
          <w:p>
            <w:r>
              <w:rPr>
                <w:sz w:val="20"/>
              </w:rPr>
              <w:t>+480 000</w:t>
            </w:r>
          </w:p>
        </w:tc>
        <w:tc>
          <w:tcPr>
            <w:tcW w:type="dxa" w:w="1448"/>
          </w:tcPr>
          <w:p>
            <w:r>
              <w:rPr>
                <w:sz w:val="20"/>
              </w:rPr>
              <w:t>Compta / ERP</w:t>
            </w:r>
          </w:p>
        </w:tc>
      </w:tr>
      <w:tr>
        <w:tc>
          <w:tcPr>
            <w:tcW w:type="dxa" w:w="1930"/>
          </w:tcPr>
          <w:p>
            <w:r>
              <w:rPr>
                <w:sz w:val="20"/>
              </w:rPr>
              <w:t>Résultat net (€)</w:t>
            </w:r>
          </w:p>
        </w:tc>
        <w:tc>
          <w:tcPr>
            <w:tcW w:type="dxa" w:w="2573"/>
          </w:tcPr>
          <w:p>
            <w:r>
              <w:rPr>
                <w:sz w:val="20"/>
              </w:rPr>
              <w:t>Après impôt</w:t>
            </w:r>
          </w:p>
        </w:tc>
        <w:tc>
          <w:tcPr>
            <w:tcW w:type="dxa" w:w="1448"/>
          </w:tcPr>
          <w:p>
            <w:r>
              <w:rPr>
                <w:sz w:val="20"/>
              </w:rPr>
              <w:t>1 120 000</w:t>
            </w:r>
          </w:p>
        </w:tc>
        <w:tc>
          <w:tcPr>
            <w:tcW w:type="dxa" w:w="1448"/>
          </w:tcPr>
          <w:p>
            <w:r>
              <w:rPr>
                <w:sz w:val="20"/>
              </w:rPr>
              <w:t>820 000</w:t>
            </w:r>
          </w:p>
        </w:tc>
        <w:tc>
          <w:tcPr>
            <w:tcW w:type="dxa" w:w="1126"/>
          </w:tcPr>
          <w:p>
            <w:r>
              <w:rPr>
                <w:sz w:val="20"/>
              </w:rPr>
              <w:t>+300 000</w:t>
            </w:r>
          </w:p>
        </w:tc>
        <w:tc>
          <w:tcPr>
            <w:tcW w:type="dxa" w:w="1448"/>
          </w:tcPr>
          <w:p>
            <w:r>
              <w:rPr>
                <w:sz w:val="20"/>
              </w:rPr>
              <w:t>Compta</w:t>
            </w:r>
          </w:p>
        </w:tc>
      </w:tr>
      <w:tr>
        <w:tc>
          <w:tcPr>
            <w:tcW w:type="dxa" w:w="1930"/>
          </w:tcPr>
          <w:p>
            <w:r>
              <w:rPr>
                <w:sz w:val="20"/>
              </w:rPr>
              <w:t>Churn clients (%)</w:t>
            </w:r>
          </w:p>
        </w:tc>
        <w:tc>
          <w:tcPr>
            <w:tcW w:type="dxa" w:w="2573"/>
          </w:tcPr>
          <w:p>
            <w:r>
              <w:rPr>
                <w:sz w:val="20"/>
              </w:rPr>
              <w:t>Résiliation contrats récurrents</w:t>
            </w:r>
          </w:p>
        </w:tc>
        <w:tc>
          <w:tcPr>
            <w:tcW w:type="dxa" w:w="1448"/>
          </w:tcPr>
          <w:p>
            <w:r>
              <w:rPr>
                <w:sz w:val="20"/>
              </w:rPr>
              <w:t>4,2 %</w:t>
            </w:r>
          </w:p>
        </w:tc>
        <w:tc>
          <w:tcPr>
            <w:tcW w:type="dxa" w:w="1448"/>
          </w:tcPr>
          <w:p>
            <w:r>
              <w:rPr>
                <w:sz w:val="20"/>
              </w:rPr>
              <w:t>6,1 %</w:t>
            </w:r>
          </w:p>
        </w:tc>
        <w:tc>
          <w:tcPr>
            <w:tcW w:type="dxa" w:w="1126"/>
          </w:tcPr>
          <w:p>
            <w:r>
              <w:rPr>
                <w:sz w:val="20"/>
              </w:rPr>
              <w:t>-1,9 pt</w:t>
            </w:r>
          </w:p>
        </w:tc>
        <w:tc>
          <w:tcPr>
            <w:tcW w:type="dxa" w:w="1448"/>
          </w:tcPr>
          <w:p>
            <w:r>
              <w:rPr>
                <w:sz w:val="20"/>
              </w:rPr>
              <w:t>CRM</w:t>
            </w:r>
          </w:p>
        </w:tc>
      </w:tr>
      <w:tr>
        <w:tc>
          <w:tcPr>
            <w:tcW w:type="dxa" w:w="1930"/>
          </w:tcPr>
          <w:p>
            <w:r>
              <w:rPr>
                <w:sz w:val="20"/>
              </w:rPr>
              <w:t>Conversion pipeline (%)</w:t>
            </w:r>
          </w:p>
        </w:tc>
        <w:tc>
          <w:tcPr>
            <w:tcW w:type="dxa" w:w="2573"/>
          </w:tcPr>
          <w:p>
            <w:r>
              <w:rPr>
                <w:sz w:val="20"/>
              </w:rPr>
              <w:t>Devis → commande</w:t>
            </w:r>
          </w:p>
        </w:tc>
        <w:tc>
          <w:tcPr>
            <w:tcW w:type="dxa" w:w="1448"/>
          </w:tcPr>
          <w:p>
            <w:r>
              <w:rPr>
                <w:sz w:val="20"/>
              </w:rPr>
              <w:t>31 %</w:t>
            </w:r>
          </w:p>
        </w:tc>
        <w:tc>
          <w:tcPr>
            <w:tcW w:type="dxa" w:w="1448"/>
          </w:tcPr>
          <w:p>
            <w:r>
              <w:rPr>
                <w:sz w:val="20"/>
              </w:rPr>
              <w:t>27 %</w:t>
            </w:r>
          </w:p>
        </w:tc>
        <w:tc>
          <w:tcPr>
            <w:tcW w:type="dxa" w:w="1126"/>
          </w:tcPr>
          <w:p>
            <w:r>
              <w:rPr>
                <w:sz w:val="20"/>
              </w:rPr>
              <w:t>+4 pt</w:t>
            </w:r>
          </w:p>
        </w:tc>
        <w:tc>
          <w:tcPr>
            <w:tcW w:type="dxa" w:w="1448"/>
          </w:tcPr>
          <w:p>
            <w:r>
              <w:rPr>
                <w:sz w:val="20"/>
              </w:rPr>
              <w:t>CRM / Ventes</w:t>
            </w:r>
          </w:p>
        </w:tc>
      </w:tr>
    </w:tbl>
    <w:p>
      <w:pPr>
        <w:spacing w:after="120"/>
      </w:pPr>
      <w:r>
        <w:rPr>
          <w:b w:val="0"/>
          <w:i w:val="0"/>
          <w:color w:val="2E4057"/>
          <w:sz w:val="20"/>
        </w:rPr>
        <w:t>Note de lecture : périmètre constant ; retraitements IFRS non applicables ; contrôle qualité par échantillonnage (10 %).</w:t>
      </w:r>
    </w:p>
    <w:tbl>
      <w:tblPr>
        <w:tblW w:type="auto" w:w="0"/>
        <w:tblLayout w:type="fixed"/>
        <w:tblLook w:firstColumn="1" w:firstRow="1" w:lastColumn="0" w:lastRow="0" w:noHBand="0" w:noVBand="1" w:val="04A0"/>
      </w:tblPr>
      <w:tblGrid>
        <w:gridCol w:w="227"/>
        <w:gridCol w:w="9745"/>
      </w:tblGrid>
      <w:tr>
        <w:tc>
          <w:tcPr>
            <w:tcW w:type="dxa" w:w="227"/>
            <w:shd w:val="clear" w:color="auto" w:fill="10B981"/>
          </w:tcPr>
          <w:p/>
        </w:tc>
        <w:tc>
          <w:tcPr>
            <w:tcW w:type="dxa" w:w="9745"/>
          </w:tcPr>
          <w:p>
            <w:pPr>
              <w:spacing w:after="120"/>
            </w:pPr>
            <w:r>
              <w:rPr>
                <w:b/>
                <w:color w:val="2E4057"/>
                <w:sz w:val="26"/>
              </w:rPr>
              <w:t>ÉVÉNEMENTS SIGNIFICATIFS POST-CLÔTURE</w:t>
            </w:r>
          </w:p>
        </w:tc>
      </w:tr>
    </w:tbl>
    <w:p>
      <w:pPr>
        <w:spacing w:after="120"/>
      </w:pPr>
      <w:r>
        <w:rPr>
          <w:b w:val="0"/>
          <w:i w:val="0"/>
          <w:color w:val="12141A"/>
          <w:sz w:val="22"/>
        </w:rPr>
        <w:t>En janvier 2026, ouverture d’un site d’intervention à Nantes pour rapprocher l’équipe de deux clients majeurs ; signature d’une ligne de financement de 2,5 M€ avec une banque partenaire (capex et fonds de roulement) ; changement de Direction financière (passation au 15/02/2026). L’impact attendu est neutre sur le T1 et positif sur la disponibilité des équipes en T2.</w:t>
      </w:r>
    </w:p>
    <w:tbl>
      <w:tblPr>
        <w:tblW w:type="auto" w:w="0"/>
        <w:tblLayout w:type="fixed"/>
        <w:tblLook w:firstColumn="1" w:firstRow="1" w:lastColumn="0" w:lastRow="0" w:noHBand="0" w:noVBand="1" w:val="04A0"/>
      </w:tblPr>
      <w:tblGrid>
        <w:gridCol w:w="227"/>
        <w:gridCol w:w="9745"/>
      </w:tblGrid>
      <w:tr>
        <w:tc>
          <w:tcPr>
            <w:tcW w:type="dxa" w:w="227"/>
            <w:shd w:val="clear" w:color="auto" w:fill="D9822B"/>
          </w:tcPr>
          <w:p/>
        </w:tc>
        <w:tc>
          <w:tcPr>
            <w:tcW w:type="dxa" w:w="9745"/>
          </w:tcPr>
          <w:p>
            <w:pPr>
              <w:spacing w:after="120"/>
            </w:pPr>
            <w:r>
              <w:rPr>
                <w:b/>
                <w:color w:val="2E4057"/>
                <w:sz w:val="26"/>
              </w:rPr>
              <w:t>PERSPECTIVES ET DÉCISIONS PROPOSÉES</w:t>
            </w:r>
          </w:p>
        </w:tc>
      </w:tr>
    </w:tbl>
    <w:tbl>
      <w:tblPr>
        <w:tblW w:type="auto" w:w="0"/>
        <w:jc w:val="center"/>
        <w:tblLayout w:type="fixed"/>
        <w:tblLook w:firstColumn="1" w:firstRow="1" w:lastColumn="0" w:lastRow="0" w:noHBand="0" w:noVBand="1" w:val="04A0"/>
      </w:tblPr>
      <w:tblGrid>
        <w:gridCol w:w="1567"/>
        <w:gridCol w:w="2279"/>
        <w:gridCol w:w="1567"/>
        <w:gridCol w:w="1425"/>
        <w:gridCol w:w="1282"/>
        <w:gridCol w:w="1852"/>
      </w:tblGrid>
      <w:tr>
        <w:tc>
          <w:tcPr>
            <w:tcW w:type="dxa" w:w="1567"/>
            <w:shd w:val="clear" w:color="auto" w:fill="F5F7F9"/>
          </w:tcPr>
          <w:p>
            <w:pPr>
              <w:jc w:val="center"/>
            </w:pPr>
            <w:r>
              <w:rPr>
                <w:b/>
                <w:color w:val="2E4057"/>
                <w:sz w:val="20"/>
              </w:rPr>
              <w:t>Priorité</w:t>
            </w:r>
          </w:p>
        </w:tc>
        <w:tc>
          <w:tcPr>
            <w:tcW w:type="dxa" w:w="2279"/>
            <w:shd w:val="clear" w:color="auto" w:fill="F5F7F9"/>
          </w:tcPr>
          <w:p>
            <w:pPr>
              <w:jc w:val="center"/>
            </w:pPr>
            <w:r>
              <w:rPr>
                <w:b/>
                <w:color w:val="2E4057"/>
                <w:sz w:val="20"/>
              </w:rPr>
              <w:t>Décision proposée</w:t>
            </w:r>
          </w:p>
        </w:tc>
        <w:tc>
          <w:tcPr>
            <w:tcW w:type="dxa" w:w="1567"/>
            <w:shd w:val="clear" w:color="auto" w:fill="F5F7F9"/>
          </w:tcPr>
          <w:p>
            <w:pPr>
              <w:jc w:val="center"/>
            </w:pPr>
            <w:r>
              <w:rPr>
                <w:b/>
                <w:color w:val="2E4057"/>
                <w:sz w:val="20"/>
              </w:rPr>
              <w:t>Jalon</w:t>
            </w:r>
          </w:p>
        </w:tc>
        <w:tc>
          <w:tcPr>
            <w:tcW w:type="dxa" w:w="1425"/>
            <w:shd w:val="clear" w:color="auto" w:fill="F5F7F9"/>
          </w:tcPr>
          <w:p>
            <w:pPr>
              <w:jc w:val="center"/>
            </w:pPr>
            <w:r>
              <w:rPr>
                <w:b/>
                <w:color w:val="2E4057"/>
                <w:sz w:val="20"/>
              </w:rPr>
              <w:t>Responsable</w:t>
            </w:r>
          </w:p>
        </w:tc>
        <w:tc>
          <w:tcPr>
            <w:tcW w:type="dxa" w:w="1282"/>
            <w:shd w:val="clear" w:color="auto" w:fill="F5F7F9"/>
          </w:tcPr>
          <w:p>
            <w:pPr>
              <w:jc w:val="center"/>
            </w:pPr>
            <w:r>
              <w:rPr>
                <w:b/>
                <w:color w:val="2E4057"/>
                <w:sz w:val="20"/>
              </w:rPr>
              <w:t>Échéance</w:t>
            </w:r>
          </w:p>
        </w:tc>
        <w:tc>
          <w:tcPr>
            <w:tcW w:type="dxa" w:w="1852"/>
            <w:shd w:val="clear" w:color="auto" w:fill="F5F7F9"/>
          </w:tcPr>
          <w:p>
            <w:pPr>
              <w:jc w:val="center"/>
            </w:pPr>
            <w:r>
              <w:rPr>
                <w:b/>
                <w:color w:val="2E4057"/>
                <w:sz w:val="20"/>
              </w:rPr>
              <w:t>Indicateur de succès</w:t>
            </w:r>
          </w:p>
        </w:tc>
      </w:tr>
      <w:tr>
        <w:tc>
          <w:tcPr>
            <w:tcW w:type="dxa" w:w="1567"/>
          </w:tcPr>
          <w:p>
            <w:r>
              <w:rPr>
                <w:sz w:val="20"/>
              </w:rPr>
              <w:t>Marge op. ≥15 %</w:t>
            </w:r>
          </w:p>
        </w:tc>
        <w:tc>
          <w:tcPr>
            <w:tcW w:type="dxa" w:w="2279"/>
          </w:tcPr>
          <w:p>
            <w:r>
              <w:rPr>
                <w:sz w:val="20"/>
              </w:rPr>
              <w:t>Optimiser staffing + pricing variable</w:t>
            </w:r>
          </w:p>
        </w:tc>
        <w:tc>
          <w:tcPr>
            <w:tcW w:type="dxa" w:w="1567"/>
          </w:tcPr>
          <w:p>
            <w:r>
              <w:rPr>
                <w:sz w:val="20"/>
              </w:rPr>
              <w:t>Kit pricing T2 validé</w:t>
            </w:r>
          </w:p>
        </w:tc>
        <w:tc>
          <w:tcPr>
            <w:tcW w:type="dxa" w:w="1425"/>
          </w:tcPr>
          <w:p>
            <w:r>
              <w:rPr>
                <w:sz w:val="20"/>
              </w:rPr>
              <w:t>Direction commerciale</w:t>
            </w:r>
          </w:p>
        </w:tc>
        <w:tc>
          <w:tcPr>
            <w:tcW w:type="dxa" w:w="1282"/>
          </w:tcPr>
          <w:p>
            <w:r>
              <w:rPr>
                <w:sz w:val="20"/>
              </w:rPr>
              <w:t>30/06/2026</w:t>
            </w:r>
          </w:p>
        </w:tc>
        <w:tc>
          <w:tcPr>
            <w:tcW w:type="dxa" w:w="1852"/>
          </w:tcPr>
          <w:p>
            <w:r>
              <w:rPr>
                <w:sz w:val="20"/>
              </w:rPr>
              <w:t>Marge op. trimestrielle</w:t>
            </w:r>
          </w:p>
        </w:tc>
      </w:tr>
      <w:tr>
        <w:tc>
          <w:tcPr>
            <w:tcW w:type="dxa" w:w="1567"/>
          </w:tcPr>
          <w:p>
            <w:r>
              <w:rPr>
                <w:sz w:val="20"/>
              </w:rPr>
              <w:t>Maintenance prédictive</w:t>
            </w:r>
          </w:p>
        </w:tc>
        <w:tc>
          <w:tcPr>
            <w:tcW w:type="dxa" w:w="2279"/>
          </w:tcPr>
          <w:p>
            <w:r>
              <w:rPr>
                <w:sz w:val="20"/>
              </w:rPr>
              <w:t>Déployer IA ordonnancement sur 3 sites</w:t>
            </w:r>
          </w:p>
        </w:tc>
        <w:tc>
          <w:tcPr>
            <w:tcW w:type="dxa" w:w="1567"/>
          </w:tcPr>
          <w:p>
            <w:r>
              <w:rPr>
                <w:sz w:val="20"/>
              </w:rPr>
              <w:t>Pilote signé</w:t>
            </w:r>
          </w:p>
        </w:tc>
        <w:tc>
          <w:tcPr>
            <w:tcW w:type="dxa" w:w="1425"/>
          </w:tcPr>
          <w:p>
            <w:r>
              <w:rPr>
                <w:sz w:val="20"/>
              </w:rPr>
              <w:t>Direction opérations</w:t>
            </w:r>
          </w:p>
        </w:tc>
        <w:tc>
          <w:tcPr>
            <w:tcW w:type="dxa" w:w="1282"/>
          </w:tcPr>
          <w:p>
            <w:r>
              <w:rPr>
                <w:sz w:val="20"/>
              </w:rPr>
              <w:t>31/07/2026</w:t>
            </w:r>
          </w:p>
        </w:tc>
        <w:tc>
          <w:tcPr>
            <w:tcW w:type="dxa" w:w="1852"/>
          </w:tcPr>
          <w:p>
            <w:r>
              <w:rPr>
                <w:sz w:val="20"/>
              </w:rPr>
              <w:t>Gain 8 % productivité</w:t>
            </w:r>
          </w:p>
        </w:tc>
      </w:tr>
      <w:tr>
        <w:tc>
          <w:tcPr>
            <w:tcW w:type="dxa" w:w="1567"/>
          </w:tcPr>
          <w:p>
            <w:r>
              <w:rPr>
                <w:sz w:val="20"/>
              </w:rPr>
              <w:t>Recrutement métiers</w:t>
            </w:r>
          </w:p>
        </w:tc>
        <w:tc>
          <w:tcPr>
            <w:tcW w:type="dxa" w:w="2279"/>
          </w:tcPr>
          <w:p>
            <w:r>
              <w:rPr>
                <w:sz w:val="20"/>
              </w:rPr>
              <w:t>Créer vivier + tutorat interne</w:t>
            </w:r>
          </w:p>
        </w:tc>
        <w:tc>
          <w:tcPr>
            <w:tcW w:type="dxa" w:w="1567"/>
          </w:tcPr>
          <w:p>
            <w:r>
              <w:rPr>
                <w:sz w:val="20"/>
              </w:rPr>
              <w:t>30 tuteurs formés</w:t>
            </w:r>
          </w:p>
        </w:tc>
        <w:tc>
          <w:tcPr>
            <w:tcW w:type="dxa" w:w="1425"/>
          </w:tcPr>
          <w:p>
            <w:r>
              <w:rPr>
                <w:sz w:val="20"/>
              </w:rPr>
              <w:t>RH</w:t>
            </w:r>
          </w:p>
        </w:tc>
        <w:tc>
          <w:tcPr>
            <w:tcW w:type="dxa" w:w="1282"/>
          </w:tcPr>
          <w:p>
            <w:r>
              <w:rPr>
                <w:sz w:val="20"/>
              </w:rPr>
              <w:t>30/09/2026</w:t>
            </w:r>
          </w:p>
        </w:tc>
        <w:tc>
          <w:tcPr>
            <w:tcW w:type="dxa" w:w="1852"/>
          </w:tcPr>
          <w:p>
            <w:r>
              <w:rPr>
                <w:sz w:val="20"/>
              </w:rPr>
              <w:t>Turnover &lt; 12 %</w:t>
            </w:r>
          </w:p>
        </w:tc>
      </w:tr>
      <w:tr>
        <w:tc>
          <w:tcPr>
            <w:tcW w:type="dxa" w:w="1567"/>
          </w:tcPr>
          <w:p>
            <w:r>
              <w:rPr>
                <w:sz w:val="20"/>
              </w:rPr>
              <w:t>Qualité de service</w:t>
            </w:r>
          </w:p>
        </w:tc>
        <w:tc>
          <w:tcPr>
            <w:tcW w:type="dxa" w:w="2279"/>
          </w:tcPr>
          <w:p>
            <w:r>
              <w:rPr>
                <w:sz w:val="20"/>
              </w:rPr>
              <w:t>Standardiser SLA ‘Service Pro’</w:t>
            </w:r>
          </w:p>
        </w:tc>
        <w:tc>
          <w:tcPr>
            <w:tcW w:type="dxa" w:w="1567"/>
          </w:tcPr>
          <w:p>
            <w:r>
              <w:rPr>
                <w:sz w:val="20"/>
              </w:rPr>
              <w:t>SLA publié T2</w:t>
            </w:r>
          </w:p>
        </w:tc>
        <w:tc>
          <w:tcPr>
            <w:tcW w:type="dxa" w:w="1425"/>
          </w:tcPr>
          <w:p>
            <w:r>
              <w:rPr>
                <w:sz w:val="20"/>
              </w:rPr>
              <w:t>Qualité</w:t>
            </w:r>
          </w:p>
        </w:tc>
        <w:tc>
          <w:tcPr>
            <w:tcW w:type="dxa" w:w="1282"/>
          </w:tcPr>
          <w:p>
            <w:r>
              <w:rPr>
                <w:sz w:val="20"/>
              </w:rPr>
              <w:t>31/05/2026</w:t>
            </w:r>
          </w:p>
        </w:tc>
        <w:tc>
          <w:tcPr>
            <w:tcW w:type="dxa" w:w="1852"/>
          </w:tcPr>
          <w:p>
            <w:r>
              <w:rPr>
                <w:sz w:val="20"/>
              </w:rPr>
              <w:t>&gt;95 % interventions dans délai</w:t>
            </w:r>
          </w:p>
        </w:tc>
      </w:tr>
      <w:tr>
        <w:tc>
          <w:tcPr>
            <w:tcW w:type="dxa" w:w="1567"/>
          </w:tcPr>
          <w:p>
            <w:r>
              <w:rPr>
                <w:sz w:val="20"/>
              </w:rPr>
              <w:t>Data &amp; reporting</w:t>
            </w:r>
          </w:p>
        </w:tc>
        <w:tc>
          <w:tcPr>
            <w:tcW w:type="dxa" w:w="2279"/>
          </w:tcPr>
          <w:p>
            <w:r>
              <w:rPr>
                <w:sz w:val="20"/>
              </w:rPr>
              <w:t>Automatiser exports mensuels</w:t>
            </w:r>
          </w:p>
        </w:tc>
        <w:tc>
          <w:tcPr>
            <w:tcW w:type="dxa" w:w="1567"/>
          </w:tcPr>
          <w:p>
            <w:r>
              <w:rPr>
                <w:sz w:val="20"/>
              </w:rPr>
              <w:t>Procédure IT validée</w:t>
            </w:r>
          </w:p>
        </w:tc>
        <w:tc>
          <w:tcPr>
            <w:tcW w:type="dxa" w:w="1425"/>
          </w:tcPr>
          <w:p>
            <w:r>
              <w:rPr>
                <w:sz w:val="20"/>
              </w:rPr>
              <w:t>Finance/IT</w:t>
            </w:r>
          </w:p>
        </w:tc>
        <w:tc>
          <w:tcPr>
            <w:tcW w:type="dxa" w:w="1282"/>
          </w:tcPr>
          <w:p>
            <w:r>
              <w:rPr>
                <w:sz w:val="20"/>
              </w:rPr>
              <w:t>31/03/2026</w:t>
            </w:r>
          </w:p>
        </w:tc>
        <w:tc>
          <w:tcPr>
            <w:tcW w:type="dxa" w:w="1852"/>
          </w:tcPr>
          <w:p>
            <w:r>
              <w:rPr>
                <w:sz w:val="20"/>
              </w:rPr>
              <w:t>Zéro ressaisie</w:t>
            </w:r>
          </w:p>
        </w:tc>
      </w:tr>
    </w:tbl>
    <w:tbl>
      <w:tblPr>
        <w:tblW w:type="auto" w:w="0"/>
        <w:tblLayout w:type="fixed"/>
        <w:tblLook w:firstColumn="1" w:firstRow="1" w:lastColumn="0" w:lastRow="0" w:noHBand="0" w:noVBand="1" w:val="04A0"/>
      </w:tblPr>
      <w:tblGrid>
        <w:gridCol w:w="227"/>
        <w:gridCol w:w="9745"/>
      </w:tblGrid>
      <w:tr>
        <w:tc>
          <w:tcPr>
            <w:tcW w:type="dxa" w:w="227"/>
            <w:shd w:val="clear" w:color="auto" w:fill="10B981"/>
          </w:tcPr>
          <w:p/>
        </w:tc>
        <w:tc>
          <w:tcPr>
            <w:tcW w:type="dxa" w:w="9745"/>
          </w:tcPr>
          <w:p>
            <w:pPr>
              <w:spacing w:after="120"/>
            </w:pPr>
            <w:r>
              <w:rPr>
                <w:b/>
                <w:color w:val="2E4057"/>
                <w:sz w:val="26"/>
              </w:rPr>
              <w:t>PRINCIPAUX RISQUES ET MESURES DE GESTION</w:t>
            </w:r>
          </w:p>
        </w:tc>
      </w:tr>
    </w:tbl>
    <w:tbl>
      <w:tblPr>
        <w:tblW w:type="auto" w:w="0"/>
        <w:jc w:val="center"/>
        <w:tblLayout w:type="fixed"/>
        <w:tblLook w:firstColumn="1" w:firstRow="1" w:lastColumn="0" w:lastRow="0" w:noHBand="0" w:noVBand="1" w:val="04A0"/>
      </w:tblPr>
      <w:tblGrid>
        <w:gridCol w:w="2704"/>
        <w:gridCol w:w="1690"/>
        <w:gridCol w:w="1352"/>
        <w:gridCol w:w="2873"/>
        <w:gridCol w:w="1352"/>
      </w:tblGrid>
      <w:tr>
        <w:tc>
          <w:tcPr>
            <w:tcW w:type="dxa" w:w="2704"/>
            <w:shd w:val="clear" w:color="auto" w:fill="F5F7F9"/>
          </w:tcPr>
          <w:p>
            <w:pPr>
              <w:jc w:val="center"/>
            </w:pPr>
            <w:r>
              <w:rPr>
                <w:b/>
                <w:color w:val="2E4057"/>
                <w:sz w:val="20"/>
              </w:rPr>
              <w:t>Risque</w:t>
            </w:r>
          </w:p>
        </w:tc>
        <w:tc>
          <w:tcPr>
            <w:tcW w:type="dxa" w:w="1690"/>
            <w:shd w:val="clear" w:color="auto" w:fill="F5F7F9"/>
          </w:tcPr>
          <w:p>
            <w:pPr>
              <w:jc w:val="center"/>
            </w:pPr>
            <w:r>
              <w:rPr>
                <w:b/>
                <w:color w:val="2E4057"/>
                <w:sz w:val="20"/>
              </w:rPr>
              <w:t>Impact</w:t>
            </w:r>
          </w:p>
        </w:tc>
        <w:tc>
          <w:tcPr>
            <w:tcW w:type="dxa" w:w="1352"/>
            <w:shd w:val="clear" w:color="auto" w:fill="F5F7F9"/>
          </w:tcPr>
          <w:p>
            <w:pPr>
              <w:jc w:val="center"/>
            </w:pPr>
            <w:r>
              <w:rPr>
                <w:b/>
                <w:color w:val="2E4057"/>
                <w:sz w:val="20"/>
              </w:rPr>
              <w:t>Probabilité</w:t>
            </w:r>
          </w:p>
        </w:tc>
        <w:tc>
          <w:tcPr>
            <w:tcW w:type="dxa" w:w="2873"/>
            <w:shd w:val="clear" w:color="auto" w:fill="F5F7F9"/>
          </w:tcPr>
          <w:p>
            <w:pPr>
              <w:jc w:val="center"/>
            </w:pPr>
            <w:r>
              <w:rPr>
                <w:b/>
                <w:color w:val="2E4057"/>
                <w:sz w:val="20"/>
              </w:rPr>
              <w:t>Parade / Mitigation</w:t>
            </w:r>
          </w:p>
        </w:tc>
        <w:tc>
          <w:tcPr>
            <w:tcW w:type="dxa" w:w="1352"/>
            <w:shd w:val="clear" w:color="auto" w:fill="F5F7F9"/>
          </w:tcPr>
          <w:p>
            <w:pPr>
              <w:jc w:val="center"/>
            </w:pPr>
            <w:r>
              <w:rPr>
                <w:b/>
                <w:color w:val="2E4057"/>
                <w:sz w:val="20"/>
              </w:rPr>
              <w:t>Statut</w:t>
            </w:r>
          </w:p>
        </w:tc>
      </w:tr>
      <w:tr>
        <w:tc>
          <w:tcPr>
            <w:tcW w:type="dxa" w:w="2704"/>
          </w:tcPr>
          <w:p>
            <w:r>
              <w:rPr>
                <w:sz w:val="20"/>
              </w:rPr>
              <w:t>Tension profils qualifiés</w:t>
            </w:r>
          </w:p>
        </w:tc>
        <w:tc>
          <w:tcPr>
            <w:tcW w:type="dxa" w:w="1690"/>
          </w:tcPr>
          <w:p>
            <w:r>
              <w:rPr>
                <w:sz w:val="20"/>
              </w:rPr>
              <w:t>Retards interventions</w:t>
            </w:r>
          </w:p>
        </w:tc>
        <w:tc>
          <w:tcPr>
            <w:tcW w:type="dxa" w:w="1352"/>
          </w:tcPr>
          <w:p>
            <w:r>
              <w:rPr>
                <w:sz w:val="20"/>
              </w:rPr>
              <w:t>Élevée</w:t>
            </w:r>
          </w:p>
        </w:tc>
        <w:tc>
          <w:tcPr>
            <w:tcW w:type="dxa" w:w="2873"/>
          </w:tcPr>
          <w:p>
            <w:r>
              <w:rPr>
                <w:sz w:val="20"/>
              </w:rPr>
              <w:t>Tutorat interne + vivier écoles</w:t>
            </w:r>
          </w:p>
        </w:tc>
        <w:tc>
          <w:tcPr>
            <w:tcW w:type="dxa" w:w="1352"/>
          </w:tcPr>
          <w:p>
            <w:r>
              <w:rPr>
                <w:sz w:val="20"/>
              </w:rPr>
              <w:t>En cours</w:t>
            </w:r>
          </w:p>
        </w:tc>
      </w:tr>
      <w:tr>
        <w:tc>
          <w:tcPr>
            <w:tcW w:type="dxa" w:w="2704"/>
          </w:tcPr>
          <w:p>
            <w:r>
              <w:rPr>
                <w:sz w:val="20"/>
              </w:rPr>
              <w:t>Dépendance 3 grands comptes</w:t>
            </w:r>
          </w:p>
        </w:tc>
        <w:tc>
          <w:tcPr>
            <w:tcW w:type="dxa" w:w="1690"/>
          </w:tcPr>
          <w:p>
            <w:r>
              <w:rPr>
                <w:sz w:val="20"/>
              </w:rPr>
              <w:t>Volatilité CA</w:t>
            </w:r>
          </w:p>
        </w:tc>
        <w:tc>
          <w:tcPr>
            <w:tcW w:type="dxa" w:w="1352"/>
          </w:tcPr>
          <w:p>
            <w:r>
              <w:rPr>
                <w:sz w:val="20"/>
              </w:rPr>
              <w:t>Moyenne</w:t>
            </w:r>
          </w:p>
        </w:tc>
        <w:tc>
          <w:tcPr>
            <w:tcW w:type="dxa" w:w="2873"/>
          </w:tcPr>
          <w:p>
            <w:r>
              <w:rPr>
                <w:sz w:val="20"/>
              </w:rPr>
              <w:t>Diversification + offres packagées</w:t>
            </w:r>
          </w:p>
        </w:tc>
        <w:tc>
          <w:tcPr>
            <w:tcW w:type="dxa" w:w="1352"/>
          </w:tcPr>
          <w:p>
            <w:r>
              <w:rPr>
                <w:sz w:val="20"/>
              </w:rPr>
              <w:t>Lancé</w:t>
            </w:r>
          </w:p>
        </w:tc>
      </w:tr>
      <w:tr>
        <w:tc>
          <w:tcPr>
            <w:tcW w:type="dxa" w:w="2704"/>
          </w:tcPr>
          <w:p>
            <w:r>
              <w:rPr>
                <w:sz w:val="20"/>
              </w:rPr>
              <w:t>Fournisseurs critiques</w:t>
            </w:r>
          </w:p>
        </w:tc>
        <w:tc>
          <w:tcPr>
            <w:tcW w:type="dxa" w:w="1690"/>
          </w:tcPr>
          <w:p>
            <w:r>
              <w:rPr>
                <w:sz w:val="20"/>
              </w:rPr>
              <w:t>Rupture pièces</w:t>
            </w:r>
          </w:p>
        </w:tc>
        <w:tc>
          <w:tcPr>
            <w:tcW w:type="dxa" w:w="1352"/>
          </w:tcPr>
          <w:p>
            <w:r>
              <w:rPr>
                <w:sz w:val="20"/>
              </w:rPr>
              <w:t>Moyenne</w:t>
            </w:r>
          </w:p>
        </w:tc>
        <w:tc>
          <w:tcPr>
            <w:tcW w:type="dxa" w:w="2873"/>
          </w:tcPr>
          <w:p>
            <w:r>
              <w:rPr>
                <w:sz w:val="20"/>
              </w:rPr>
              <w:t>Double sourcing + stock mini</w:t>
            </w:r>
          </w:p>
        </w:tc>
        <w:tc>
          <w:tcPr>
            <w:tcW w:type="dxa" w:w="1352"/>
          </w:tcPr>
          <w:p>
            <w:r>
              <w:rPr>
                <w:sz w:val="20"/>
              </w:rPr>
              <w:t>Mis en œuvre</w:t>
            </w:r>
          </w:p>
        </w:tc>
      </w:tr>
      <w:tr>
        <w:tc>
          <w:tcPr>
            <w:tcW w:type="dxa" w:w="2704"/>
          </w:tcPr>
          <w:p>
            <w:r>
              <w:rPr>
                <w:sz w:val="20"/>
              </w:rPr>
              <w:t>Cyber (ERP cloud)</w:t>
            </w:r>
          </w:p>
        </w:tc>
        <w:tc>
          <w:tcPr>
            <w:tcW w:type="dxa" w:w="1690"/>
          </w:tcPr>
          <w:p>
            <w:r>
              <w:rPr>
                <w:sz w:val="20"/>
              </w:rPr>
              <w:t>Arrêt activité</w:t>
            </w:r>
          </w:p>
        </w:tc>
        <w:tc>
          <w:tcPr>
            <w:tcW w:type="dxa" w:w="1352"/>
          </w:tcPr>
          <w:p>
            <w:r>
              <w:rPr>
                <w:sz w:val="20"/>
              </w:rPr>
              <w:t>Faible</w:t>
            </w:r>
          </w:p>
        </w:tc>
        <w:tc>
          <w:tcPr>
            <w:tcW w:type="dxa" w:w="2873"/>
          </w:tcPr>
          <w:p>
            <w:r>
              <w:rPr>
                <w:sz w:val="20"/>
              </w:rPr>
              <w:t>Sauvegardes + PRA testés</w:t>
            </w:r>
          </w:p>
        </w:tc>
        <w:tc>
          <w:tcPr>
            <w:tcW w:type="dxa" w:w="1352"/>
          </w:tcPr>
          <w:p>
            <w:r>
              <w:rPr>
                <w:sz w:val="20"/>
              </w:rPr>
              <w:t>En place</w:t>
            </w:r>
          </w:p>
        </w:tc>
      </w:tr>
      <w:tr>
        <w:tc>
          <w:tcPr>
            <w:tcW w:type="dxa" w:w="2704"/>
          </w:tcPr>
          <w:p>
            <w:r>
              <w:rPr>
                <w:sz w:val="20"/>
              </w:rPr>
              <w:t>Inflation coûts</w:t>
            </w:r>
          </w:p>
        </w:tc>
        <w:tc>
          <w:tcPr>
            <w:tcW w:type="dxa" w:w="1690"/>
          </w:tcPr>
          <w:p>
            <w:r>
              <w:rPr>
                <w:sz w:val="20"/>
              </w:rPr>
              <w:t>Érosion marge</w:t>
            </w:r>
          </w:p>
        </w:tc>
        <w:tc>
          <w:tcPr>
            <w:tcW w:type="dxa" w:w="1352"/>
          </w:tcPr>
          <w:p>
            <w:r>
              <w:rPr>
                <w:sz w:val="20"/>
              </w:rPr>
              <w:t>Moyenne</w:t>
            </w:r>
          </w:p>
        </w:tc>
        <w:tc>
          <w:tcPr>
            <w:tcW w:type="dxa" w:w="2873"/>
          </w:tcPr>
          <w:p>
            <w:r>
              <w:rPr>
                <w:sz w:val="20"/>
              </w:rPr>
              <w:t>Indexation tarifs + renégociation</w:t>
            </w:r>
          </w:p>
        </w:tc>
        <w:tc>
          <w:tcPr>
            <w:tcW w:type="dxa" w:w="1352"/>
          </w:tcPr>
          <w:p>
            <w:r>
              <w:rPr>
                <w:sz w:val="20"/>
              </w:rPr>
              <w:t>En cours</w:t>
            </w:r>
          </w:p>
        </w:tc>
      </w:tr>
      <w:tr>
        <w:tc>
          <w:tcPr>
            <w:tcW w:type="dxa" w:w="2704"/>
          </w:tcPr>
          <w:p>
            <w:r>
              <w:rPr>
                <w:sz w:val="20"/>
              </w:rPr>
              <w:t>Sécurité sur sites</w:t>
            </w:r>
          </w:p>
        </w:tc>
        <w:tc>
          <w:tcPr>
            <w:tcW w:type="dxa" w:w="1690"/>
          </w:tcPr>
          <w:p>
            <w:r>
              <w:rPr>
                <w:sz w:val="20"/>
              </w:rPr>
              <w:t>Accidents</w:t>
            </w:r>
          </w:p>
        </w:tc>
        <w:tc>
          <w:tcPr>
            <w:tcW w:type="dxa" w:w="1352"/>
          </w:tcPr>
          <w:p>
            <w:r>
              <w:rPr>
                <w:sz w:val="20"/>
              </w:rPr>
              <w:t>Faible</w:t>
            </w:r>
          </w:p>
        </w:tc>
        <w:tc>
          <w:tcPr>
            <w:tcW w:type="dxa" w:w="2873"/>
          </w:tcPr>
          <w:p>
            <w:r>
              <w:rPr>
                <w:sz w:val="20"/>
              </w:rPr>
              <w:t>Rituels HSE + audits</w:t>
            </w:r>
          </w:p>
        </w:tc>
        <w:tc>
          <w:tcPr>
            <w:tcW w:type="dxa" w:w="1352"/>
          </w:tcPr>
          <w:p>
            <w:r>
              <w:rPr>
                <w:sz w:val="20"/>
              </w:rPr>
              <w:t>En place</w:t>
            </w:r>
          </w:p>
        </w:tc>
      </w:tr>
    </w:tbl>
    <w:tbl>
      <w:tblPr>
        <w:tblW w:type="auto" w:w="0"/>
        <w:tblLayout w:type="fixed"/>
        <w:tblLook w:firstColumn="1" w:firstRow="1" w:lastColumn="0" w:lastRow="0" w:noHBand="0" w:noVBand="1" w:val="04A0"/>
      </w:tblPr>
      <w:tblGrid>
        <w:gridCol w:w="227"/>
        <w:gridCol w:w="9745"/>
      </w:tblGrid>
      <w:tr>
        <w:tc>
          <w:tcPr>
            <w:tcW w:type="dxa" w:w="227"/>
            <w:shd w:val="clear" w:color="auto" w:fill="D9822B"/>
          </w:tcPr>
          <w:p/>
        </w:tc>
        <w:tc>
          <w:tcPr>
            <w:tcW w:type="dxa" w:w="9745"/>
          </w:tcPr>
          <w:p>
            <w:pPr>
              <w:spacing w:after="120"/>
            </w:pPr>
            <w:r>
              <w:rPr>
                <w:b/>
                <w:color w:val="2E4057"/>
                <w:sz w:val="26"/>
              </w:rPr>
              <w:t>RECHERCHE &amp; DÉVELOPPEMENT (LE CAS ÉCHÉANT)</w:t>
            </w:r>
          </w:p>
        </w:tc>
      </w:tr>
    </w:tbl>
    <w:p>
      <w:pPr>
        <w:spacing w:after="120"/>
      </w:pPr>
      <w:r>
        <w:rPr>
          <w:b w:val="0"/>
          <w:i w:val="0"/>
          <w:color w:val="12141A"/>
          <w:sz w:val="22"/>
        </w:rPr>
        <w:t>Programme R&amp;D ‘PlanifIA’ : développement d’un moteur d’ordonnancement assisté par IA combinant contraintes de capacité, compétences et SLA contractuels. Prototypage sur données historiques 2024–2025, puis tests en situation réelle sur trois sites pilotes. Dépenses 2025 : 430 k€ (salaires, prestation algorithmes, hébergement). Subventions mobilisées : 90 k€. Livrables : algorithmes v1, connecteur ERP, tableaux de bord d’arbitrage. L’enjeu n’est pas la ‘magie’ de l’IA mais la robustesse des décisions : expliquer pourquoi un planning est proposé, et permettre au chef de site de reprendre la main quand c’est nécessaire.</w:t>
      </w:r>
    </w:p>
    <w:tbl>
      <w:tblPr>
        <w:tblW w:type="auto" w:w="0"/>
        <w:tblLayout w:type="fixed"/>
        <w:tblLook w:firstColumn="1" w:firstRow="1" w:lastColumn="0" w:lastRow="0" w:noHBand="0" w:noVBand="1" w:val="04A0"/>
      </w:tblPr>
      <w:tblGrid>
        <w:gridCol w:w="227"/>
        <w:gridCol w:w="9745"/>
      </w:tblGrid>
      <w:tr>
        <w:tc>
          <w:tcPr>
            <w:tcW w:type="dxa" w:w="227"/>
            <w:shd w:val="clear" w:color="auto" w:fill="10B981"/>
          </w:tcPr>
          <w:p/>
        </w:tc>
        <w:tc>
          <w:tcPr>
            <w:tcW w:type="dxa" w:w="9745"/>
          </w:tcPr>
          <w:p>
            <w:pPr>
              <w:spacing w:after="120"/>
            </w:pPr>
            <w:r>
              <w:rPr>
                <w:b/>
                <w:color w:val="2E4057"/>
                <w:sz w:val="26"/>
              </w:rPr>
              <w:t>DÉLAIS DE PAIEMENT FOURNISSEURS ET CLIENTS (SYNTHÈSE)</w:t>
            </w:r>
          </w:p>
        </w:tc>
      </w:tr>
    </w:tbl>
    <w:tbl>
      <w:tblPr>
        <w:tblW w:type="auto" w:w="0"/>
        <w:jc w:val="center"/>
        <w:tblLayout w:type="fixed"/>
        <w:tblLook w:firstColumn="1" w:firstRow="1" w:lastColumn="0" w:lastRow="0" w:noHBand="0" w:noVBand="1" w:val="04A0"/>
      </w:tblPr>
      <w:tblGrid>
        <w:gridCol w:w="1994"/>
        <w:gridCol w:w="2357"/>
        <w:gridCol w:w="1994"/>
        <w:gridCol w:w="3626"/>
      </w:tblGrid>
      <w:tr>
        <w:tc>
          <w:tcPr>
            <w:tcW w:type="dxa" w:w="1994"/>
            <w:shd w:val="clear" w:color="auto" w:fill="F5F7F9"/>
          </w:tcPr>
          <w:p>
            <w:pPr>
              <w:jc w:val="center"/>
            </w:pPr>
            <w:r>
              <w:rPr>
                <w:b/>
                <w:color w:val="2E4057"/>
                <w:sz w:val="20"/>
              </w:rPr>
              <w:t>Flux</w:t>
            </w:r>
          </w:p>
        </w:tc>
        <w:tc>
          <w:tcPr>
            <w:tcW w:type="dxa" w:w="2357"/>
            <w:shd w:val="clear" w:color="auto" w:fill="F5F7F9"/>
          </w:tcPr>
          <w:p>
            <w:pPr>
              <w:jc w:val="center"/>
            </w:pPr>
            <w:r>
              <w:rPr>
                <w:b/>
                <w:color w:val="2E4057"/>
                <w:sz w:val="20"/>
              </w:rPr>
              <w:t>Délai moyen (jours)</w:t>
            </w:r>
          </w:p>
        </w:tc>
        <w:tc>
          <w:tcPr>
            <w:tcW w:type="dxa" w:w="1994"/>
            <w:shd w:val="clear" w:color="auto" w:fill="F5F7F9"/>
          </w:tcPr>
          <w:p>
            <w:pPr>
              <w:jc w:val="center"/>
            </w:pPr>
            <w:r>
              <w:rPr>
                <w:b/>
                <w:color w:val="2E4057"/>
                <w:sz w:val="20"/>
              </w:rPr>
              <w:t>Part &gt; 60 j</w:t>
            </w:r>
          </w:p>
        </w:tc>
        <w:tc>
          <w:tcPr>
            <w:tcW w:type="dxa" w:w="3626"/>
            <w:shd w:val="clear" w:color="auto" w:fill="F5F7F9"/>
          </w:tcPr>
          <w:p>
            <w:pPr>
              <w:jc w:val="center"/>
            </w:pPr>
            <w:r>
              <w:rPr>
                <w:b/>
                <w:color w:val="2E4057"/>
                <w:sz w:val="20"/>
              </w:rPr>
              <w:t>Actions correctives</w:t>
            </w:r>
          </w:p>
        </w:tc>
      </w:tr>
      <w:tr>
        <w:tc>
          <w:tcPr>
            <w:tcW w:type="dxa" w:w="1994"/>
          </w:tcPr>
          <w:p>
            <w:r>
              <w:rPr>
                <w:sz w:val="20"/>
              </w:rPr>
              <w:t>Clients (encaissements)</w:t>
            </w:r>
          </w:p>
        </w:tc>
        <w:tc>
          <w:tcPr>
            <w:tcW w:type="dxa" w:w="2357"/>
          </w:tcPr>
          <w:p>
            <w:r>
              <w:rPr>
                <w:sz w:val="20"/>
              </w:rPr>
              <w:t>49</w:t>
            </w:r>
          </w:p>
        </w:tc>
        <w:tc>
          <w:tcPr>
            <w:tcW w:type="dxa" w:w="1994"/>
          </w:tcPr>
          <w:p>
            <w:r>
              <w:rPr>
                <w:sz w:val="20"/>
              </w:rPr>
              <w:t>12 %</w:t>
            </w:r>
          </w:p>
        </w:tc>
        <w:tc>
          <w:tcPr>
            <w:tcW w:type="dxa" w:w="3626"/>
          </w:tcPr>
          <w:p>
            <w:r>
              <w:rPr>
                <w:sz w:val="20"/>
              </w:rPr>
              <w:t>Relances automatisées + pénalités contractuelles</w:t>
            </w:r>
          </w:p>
        </w:tc>
      </w:tr>
      <w:tr>
        <w:tc>
          <w:tcPr>
            <w:tcW w:type="dxa" w:w="1994"/>
          </w:tcPr>
          <w:p>
            <w:r>
              <w:rPr>
                <w:sz w:val="20"/>
              </w:rPr>
              <w:t>Fournisseurs (décaissements)</w:t>
            </w:r>
          </w:p>
        </w:tc>
        <w:tc>
          <w:tcPr>
            <w:tcW w:type="dxa" w:w="2357"/>
          </w:tcPr>
          <w:p>
            <w:r>
              <w:rPr>
                <w:sz w:val="20"/>
              </w:rPr>
              <w:t>52</w:t>
            </w:r>
          </w:p>
        </w:tc>
        <w:tc>
          <w:tcPr>
            <w:tcW w:type="dxa" w:w="1994"/>
          </w:tcPr>
          <w:p>
            <w:r>
              <w:rPr>
                <w:sz w:val="20"/>
              </w:rPr>
              <w:t>9 %</w:t>
            </w:r>
          </w:p>
        </w:tc>
        <w:tc>
          <w:tcPr>
            <w:tcW w:type="dxa" w:w="3626"/>
          </w:tcPr>
          <w:p>
            <w:r>
              <w:rPr>
                <w:sz w:val="20"/>
              </w:rPr>
              <w:t>Accords-cadres + validation à réception</w:t>
            </w:r>
          </w:p>
        </w:tc>
      </w:tr>
      <w:tr>
        <w:tc>
          <w:tcPr>
            <w:tcW w:type="dxa" w:w="1994"/>
          </w:tcPr>
          <w:p>
            <w:r>
              <w:rPr>
                <w:sz w:val="20"/>
              </w:rPr>
              <w:t>Sous-traitants</w:t>
            </w:r>
          </w:p>
        </w:tc>
        <w:tc>
          <w:tcPr>
            <w:tcW w:type="dxa" w:w="2357"/>
          </w:tcPr>
          <w:p>
            <w:r>
              <w:rPr>
                <w:sz w:val="20"/>
              </w:rPr>
              <w:t>45</w:t>
            </w:r>
          </w:p>
        </w:tc>
        <w:tc>
          <w:tcPr>
            <w:tcW w:type="dxa" w:w="1994"/>
          </w:tcPr>
          <w:p>
            <w:r>
              <w:rPr>
                <w:sz w:val="20"/>
              </w:rPr>
              <w:t>7 %</w:t>
            </w:r>
          </w:p>
        </w:tc>
        <w:tc>
          <w:tcPr>
            <w:tcW w:type="dxa" w:w="3626"/>
          </w:tcPr>
          <w:p>
            <w:r>
              <w:rPr>
                <w:sz w:val="20"/>
              </w:rPr>
              <w:t>Avances plafonnées + contrôle qualité renforcé</w:t>
            </w:r>
          </w:p>
        </w:tc>
      </w:tr>
    </w:tbl>
    <w:tbl>
      <w:tblPr>
        <w:tblW w:type="auto" w:w="0"/>
        <w:tblLayout w:type="fixed"/>
        <w:tblLook w:firstColumn="1" w:firstRow="1" w:lastColumn="0" w:lastRow="0" w:noHBand="0" w:noVBand="1" w:val="04A0"/>
      </w:tblPr>
      <w:tblGrid>
        <w:gridCol w:w="227"/>
        <w:gridCol w:w="9745"/>
      </w:tblGrid>
      <w:tr>
        <w:tc>
          <w:tcPr>
            <w:tcW w:type="dxa" w:w="227"/>
            <w:shd w:val="clear" w:color="auto" w:fill="D9822B"/>
          </w:tcPr>
          <w:p/>
        </w:tc>
        <w:tc>
          <w:tcPr>
            <w:tcW w:type="dxa" w:w="9745"/>
          </w:tcPr>
          <w:p>
            <w:pPr>
              <w:spacing w:after="120"/>
            </w:pPr>
            <w:r>
              <w:rPr>
                <w:b/>
                <w:color w:val="2E4057"/>
                <w:sz w:val="26"/>
              </w:rPr>
              <w:t>FILIALES ET PARTICIPATIONS</w:t>
            </w:r>
          </w:p>
        </w:tc>
      </w:tr>
    </w:tbl>
    <w:tbl>
      <w:tblPr>
        <w:tblW w:type="auto" w:w="0"/>
        <w:jc w:val="center"/>
        <w:tblLayout w:type="fixed"/>
        <w:tblLook w:firstColumn="1" w:firstRow="1" w:lastColumn="0" w:lastRow="0" w:noHBand="0" w:noVBand="1" w:val="04A0"/>
      </w:tblPr>
      <w:tblGrid>
        <w:gridCol w:w="2455"/>
        <w:gridCol w:w="1534"/>
        <w:gridCol w:w="1227"/>
        <w:gridCol w:w="2301"/>
        <w:gridCol w:w="2455"/>
      </w:tblGrid>
      <w:tr>
        <w:tc>
          <w:tcPr>
            <w:tcW w:type="dxa" w:w="2455"/>
            <w:shd w:val="clear" w:color="auto" w:fill="F5F7F9"/>
          </w:tcPr>
          <w:p>
            <w:pPr>
              <w:jc w:val="center"/>
            </w:pPr>
            <w:r>
              <w:rPr>
                <w:b/>
                <w:color w:val="2E4057"/>
                <w:sz w:val="20"/>
              </w:rPr>
              <w:t>Société</w:t>
            </w:r>
          </w:p>
        </w:tc>
        <w:tc>
          <w:tcPr>
            <w:tcW w:type="dxa" w:w="1534"/>
            <w:shd w:val="clear" w:color="auto" w:fill="F5F7F9"/>
          </w:tcPr>
          <w:p>
            <w:pPr>
              <w:jc w:val="center"/>
            </w:pPr>
            <w:r>
              <w:rPr>
                <w:b/>
                <w:color w:val="2E4057"/>
                <w:sz w:val="20"/>
              </w:rPr>
              <w:t>Pays</w:t>
            </w:r>
          </w:p>
        </w:tc>
        <w:tc>
          <w:tcPr>
            <w:tcW w:type="dxa" w:w="1227"/>
            <w:shd w:val="clear" w:color="auto" w:fill="F5F7F9"/>
          </w:tcPr>
          <w:p>
            <w:pPr>
              <w:jc w:val="center"/>
            </w:pPr>
            <w:r>
              <w:rPr>
                <w:b/>
                <w:color w:val="2E4057"/>
                <w:sz w:val="20"/>
              </w:rPr>
              <w:t>% détenu</w:t>
            </w:r>
          </w:p>
        </w:tc>
        <w:tc>
          <w:tcPr>
            <w:tcW w:type="dxa" w:w="2301"/>
            <w:shd w:val="clear" w:color="auto" w:fill="F5F7F9"/>
          </w:tcPr>
          <w:p>
            <w:pPr>
              <w:jc w:val="center"/>
            </w:pPr>
            <w:r>
              <w:rPr>
                <w:b/>
                <w:color w:val="2E4057"/>
                <w:sz w:val="20"/>
              </w:rPr>
              <w:t>Méthode de consolidation</w:t>
            </w:r>
          </w:p>
        </w:tc>
        <w:tc>
          <w:tcPr>
            <w:tcW w:type="dxa" w:w="2455"/>
            <w:shd w:val="clear" w:color="auto" w:fill="F5F7F9"/>
          </w:tcPr>
          <w:p>
            <w:pPr>
              <w:jc w:val="center"/>
            </w:pPr>
            <w:r>
              <w:rPr>
                <w:b/>
                <w:color w:val="2E4057"/>
                <w:sz w:val="20"/>
              </w:rPr>
              <w:t>Commentaires</w:t>
            </w:r>
          </w:p>
        </w:tc>
      </w:tr>
      <w:tr>
        <w:tc>
          <w:tcPr>
            <w:tcW w:type="dxa" w:w="2455"/>
          </w:tcPr>
          <w:p>
            <w:r>
              <w:rPr>
                <w:sz w:val="20"/>
              </w:rPr>
              <w:t>Technica Services Nord</w:t>
            </w:r>
          </w:p>
        </w:tc>
        <w:tc>
          <w:tcPr>
            <w:tcW w:type="dxa" w:w="1534"/>
          </w:tcPr>
          <w:p>
            <w:r>
              <w:rPr>
                <w:sz w:val="20"/>
              </w:rPr>
              <w:t>France</w:t>
            </w:r>
          </w:p>
        </w:tc>
        <w:tc>
          <w:tcPr>
            <w:tcW w:type="dxa" w:w="1227"/>
          </w:tcPr>
          <w:p>
            <w:r>
              <w:rPr>
                <w:sz w:val="20"/>
              </w:rPr>
              <w:t>100 %</w:t>
            </w:r>
          </w:p>
        </w:tc>
        <w:tc>
          <w:tcPr>
            <w:tcW w:type="dxa" w:w="2301"/>
          </w:tcPr>
          <w:p>
            <w:r>
              <w:rPr>
                <w:sz w:val="20"/>
              </w:rPr>
              <w:t>Intégration globale</w:t>
            </w:r>
          </w:p>
        </w:tc>
        <w:tc>
          <w:tcPr>
            <w:tcW w:type="dxa" w:w="2455"/>
          </w:tcPr>
          <w:p>
            <w:r>
              <w:rPr>
                <w:sz w:val="20"/>
              </w:rPr>
              <w:t>Prestations sites Hauts-de-France</w:t>
            </w:r>
          </w:p>
        </w:tc>
      </w:tr>
      <w:tr>
        <w:tc>
          <w:tcPr>
            <w:tcW w:type="dxa" w:w="2455"/>
          </w:tcPr>
          <w:p>
            <w:r>
              <w:rPr>
                <w:sz w:val="20"/>
              </w:rPr>
              <w:t>SoftPlan SAS</w:t>
            </w:r>
          </w:p>
        </w:tc>
        <w:tc>
          <w:tcPr>
            <w:tcW w:type="dxa" w:w="1534"/>
          </w:tcPr>
          <w:p>
            <w:r>
              <w:rPr>
                <w:sz w:val="20"/>
              </w:rPr>
              <w:t>France</w:t>
            </w:r>
          </w:p>
        </w:tc>
        <w:tc>
          <w:tcPr>
            <w:tcW w:type="dxa" w:w="1227"/>
          </w:tcPr>
          <w:p>
            <w:r>
              <w:rPr>
                <w:sz w:val="20"/>
              </w:rPr>
              <w:t>80 %</w:t>
            </w:r>
          </w:p>
        </w:tc>
        <w:tc>
          <w:tcPr>
            <w:tcW w:type="dxa" w:w="2301"/>
          </w:tcPr>
          <w:p>
            <w:r>
              <w:rPr>
                <w:sz w:val="20"/>
              </w:rPr>
              <w:t>Intégration globale</w:t>
            </w:r>
          </w:p>
        </w:tc>
        <w:tc>
          <w:tcPr>
            <w:tcW w:type="dxa" w:w="2455"/>
          </w:tcPr>
          <w:p>
            <w:r>
              <w:rPr>
                <w:sz w:val="20"/>
              </w:rPr>
              <w:t>Module planning atelier</w:t>
            </w:r>
          </w:p>
        </w:tc>
      </w:tr>
      <w:tr>
        <w:tc>
          <w:tcPr>
            <w:tcW w:type="dxa" w:w="2455"/>
          </w:tcPr>
          <w:p>
            <w:r>
              <w:rPr>
                <w:sz w:val="20"/>
              </w:rPr>
              <w:t>Technica Iberia SL</w:t>
            </w:r>
          </w:p>
        </w:tc>
        <w:tc>
          <w:tcPr>
            <w:tcW w:type="dxa" w:w="1534"/>
          </w:tcPr>
          <w:p>
            <w:r>
              <w:rPr>
                <w:sz w:val="20"/>
              </w:rPr>
              <w:t>Espagne</w:t>
            </w:r>
          </w:p>
        </w:tc>
        <w:tc>
          <w:tcPr>
            <w:tcW w:type="dxa" w:w="1227"/>
          </w:tcPr>
          <w:p>
            <w:r>
              <w:rPr>
                <w:sz w:val="20"/>
              </w:rPr>
              <w:t>60 %</w:t>
            </w:r>
          </w:p>
        </w:tc>
        <w:tc>
          <w:tcPr>
            <w:tcW w:type="dxa" w:w="2301"/>
          </w:tcPr>
          <w:p>
            <w:r>
              <w:rPr>
                <w:sz w:val="20"/>
              </w:rPr>
              <w:t>Mise en équivalence</w:t>
            </w:r>
          </w:p>
        </w:tc>
        <w:tc>
          <w:tcPr>
            <w:tcW w:type="dxa" w:w="2455"/>
          </w:tcPr>
          <w:p>
            <w:r>
              <w:rPr>
                <w:sz w:val="20"/>
              </w:rPr>
              <w:t>Démarrage commercial 2025</w:t>
            </w:r>
          </w:p>
        </w:tc>
      </w:tr>
    </w:tbl>
    <w:tbl>
      <w:tblPr>
        <w:tblW w:type="auto" w:w="0"/>
        <w:tblLayout w:type="fixed"/>
        <w:tblLook w:firstColumn="1" w:firstRow="1" w:lastColumn="0" w:lastRow="0" w:noHBand="0" w:noVBand="1" w:val="04A0"/>
      </w:tblPr>
      <w:tblGrid>
        <w:gridCol w:w="227"/>
        <w:gridCol w:w="9745"/>
      </w:tblGrid>
      <w:tr>
        <w:tc>
          <w:tcPr>
            <w:tcW w:type="dxa" w:w="227"/>
            <w:shd w:val="clear" w:color="auto" w:fill="10B981"/>
          </w:tcPr>
          <w:p/>
        </w:tc>
        <w:tc>
          <w:tcPr>
            <w:tcW w:type="dxa" w:w="9745"/>
          </w:tcPr>
          <w:p>
            <w:pPr>
              <w:spacing w:after="120"/>
            </w:pPr>
            <w:r>
              <w:rPr>
                <w:b/>
                <w:color w:val="2E4057"/>
                <w:sz w:val="26"/>
              </w:rPr>
              <w:t>AFFECTATION DU RÉSULTAT (PROPOSITION À L’AG)</w:t>
            </w:r>
          </w:p>
        </w:tc>
      </w:tr>
    </w:tbl>
    <w:tbl>
      <w:tblPr>
        <w:tblW w:type="auto" w:w="0"/>
        <w:jc w:val="center"/>
        <w:tblLayout w:type="fixed"/>
        <w:tblLook w:firstColumn="1" w:firstRow="1" w:lastColumn="0" w:lastRow="0" w:noHBand="0" w:noVBand="1" w:val="04A0"/>
      </w:tblPr>
      <w:tblGrid>
        <w:gridCol w:w="1688"/>
        <w:gridCol w:w="1688"/>
        <w:gridCol w:w="2148"/>
        <w:gridCol w:w="2148"/>
        <w:gridCol w:w="2301"/>
      </w:tblGrid>
      <w:tr>
        <w:tc>
          <w:tcPr>
            <w:tcW w:type="dxa" w:w="1688"/>
            <w:shd w:val="clear" w:color="auto" w:fill="F5F7F9"/>
          </w:tcPr>
          <w:p>
            <w:pPr>
              <w:jc w:val="center"/>
            </w:pPr>
            <w:r>
              <w:rPr>
                <w:b/>
                <w:color w:val="2E4057"/>
                <w:sz w:val="20"/>
              </w:rPr>
              <w:t>Résultat net</w:t>
            </w:r>
          </w:p>
        </w:tc>
        <w:tc>
          <w:tcPr>
            <w:tcW w:type="dxa" w:w="1688"/>
            <w:shd w:val="clear" w:color="auto" w:fill="F5F7F9"/>
          </w:tcPr>
          <w:p>
            <w:pPr>
              <w:jc w:val="center"/>
            </w:pPr>
            <w:r>
              <w:rPr>
                <w:b/>
                <w:color w:val="2E4057"/>
                <w:sz w:val="20"/>
              </w:rPr>
              <w:t>Report à nouveau</w:t>
            </w:r>
          </w:p>
        </w:tc>
        <w:tc>
          <w:tcPr>
            <w:tcW w:type="dxa" w:w="2148"/>
            <w:shd w:val="clear" w:color="auto" w:fill="F5F7F9"/>
          </w:tcPr>
          <w:p>
            <w:pPr>
              <w:jc w:val="center"/>
            </w:pPr>
            <w:r>
              <w:rPr>
                <w:b/>
                <w:color w:val="2E4057"/>
                <w:sz w:val="20"/>
              </w:rPr>
              <w:t>Dividendes proposés</w:t>
            </w:r>
          </w:p>
        </w:tc>
        <w:tc>
          <w:tcPr>
            <w:tcW w:type="dxa" w:w="2148"/>
            <w:shd w:val="clear" w:color="auto" w:fill="F5F7F9"/>
          </w:tcPr>
          <w:p>
            <w:pPr>
              <w:jc w:val="center"/>
            </w:pPr>
            <w:r>
              <w:rPr>
                <w:b/>
                <w:color w:val="2E4057"/>
                <w:sz w:val="20"/>
              </w:rPr>
              <w:t>Réserves</w:t>
            </w:r>
          </w:p>
        </w:tc>
        <w:tc>
          <w:tcPr>
            <w:tcW w:type="dxa" w:w="2301"/>
            <w:shd w:val="clear" w:color="auto" w:fill="F5F7F9"/>
          </w:tcPr>
          <w:p>
            <w:pPr>
              <w:jc w:val="center"/>
            </w:pPr>
            <w:r>
              <w:rPr>
                <w:b/>
                <w:color w:val="2E4057"/>
                <w:sz w:val="20"/>
              </w:rPr>
              <w:t>Autres affectations</w:t>
            </w:r>
          </w:p>
        </w:tc>
      </w:tr>
      <w:tr>
        <w:tc>
          <w:tcPr>
            <w:tcW w:type="dxa" w:w="1688"/>
          </w:tcPr>
          <w:p>
            <w:r>
              <w:rPr>
                <w:sz w:val="20"/>
              </w:rPr>
              <w:t>1 120 000 €</w:t>
            </w:r>
          </w:p>
        </w:tc>
        <w:tc>
          <w:tcPr>
            <w:tcW w:type="dxa" w:w="1688"/>
          </w:tcPr>
          <w:p>
            <w:r>
              <w:rPr>
                <w:sz w:val="20"/>
              </w:rPr>
              <w:t>180 000 €</w:t>
            </w:r>
          </w:p>
        </w:tc>
        <w:tc>
          <w:tcPr>
            <w:tcW w:type="dxa" w:w="2148"/>
          </w:tcPr>
          <w:p>
            <w:r>
              <w:rPr>
                <w:sz w:val="20"/>
              </w:rPr>
              <w:t>300 000 €</w:t>
            </w:r>
          </w:p>
        </w:tc>
        <w:tc>
          <w:tcPr>
            <w:tcW w:type="dxa" w:w="2148"/>
          </w:tcPr>
          <w:p>
            <w:r>
              <w:rPr>
                <w:sz w:val="20"/>
              </w:rPr>
              <w:t>640 000 €</w:t>
            </w:r>
          </w:p>
        </w:tc>
        <w:tc>
          <w:tcPr>
            <w:tcW w:type="dxa" w:w="2301"/>
          </w:tcPr>
          <w:p>
            <w:r>
              <w:rPr>
                <w:sz w:val="20"/>
              </w:rPr>
              <w:t>—</w:t>
            </w:r>
          </w:p>
        </w:tc>
      </w:tr>
      <w:tr>
        <w:tc>
          <w:tcPr>
            <w:tcW w:type="dxa" w:w="1688"/>
          </w:tcPr>
          <w:p>
            <w:r>
              <w:rPr>
                <w:sz w:val="20"/>
              </w:rPr>
              <w:t>—</w:t>
            </w:r>
          </w:p>
        </w:tc>
        <w:tc>
          <w:tcPr>
            <w:tcW w:type="dxa" w:w="1688"/>
          </w:tcPr>
          <w:p>
            <w:r>
              <w:rPr>
                <w:sz w:val="20"/>
              </w:rPr>
              <w:t>—</w:t>
            </w:r>
          </w:p>
        </w:tc>
        <w:tc>
          <w:tcPr>
            <w:tcW w:type="dxa" w:w="2148"/>
          </w:tcPr>
          <w:p>
            <w:r>
              <w:rPr>
                <w:sz w:val="20"/>
              </w:rPr>
              <w:t>Modalités : paiement en juin</w:t>
            </w:r>
          </w:p>
        </w:tc>
        <w:tc>
          <w:tcPr>
            <w:tcW w:type="dxa" w:w="2148"/>
          </w:tcPr>
          <w:p>
            <w:r>
              <w:rPr>
                <w:sz w:val="20"/>
              </w:rPr>
              <w:t>—</w:t>
            </w:r>
          </w:p>
        </w:tc>
        <w:tc>
          <w:tcPr>
            <w:tcW w:type="dxa" w:w="2301"/>
          </w:tcPr>
          <w:p>
            <w:r>
              <w:rPr>
                <w:sz w:val="20"/>
              </w:rPr>
              <w:t>—</w:t>
            </w:r>
          </w:p>
        </w:tc>
      </w:tr>
    </w:tbl>
    <w:tbl>
      <w:tblPr>
        <w:tblW w:type="auto" w:w="0"/>
        <w:tblLayout w:type="fixed"/>
        <w:tblLook w:firstColumn="1" w:firstRow="1" w:lastColumn="0" w:lastRow="0" w:noHBand="0" w:noVBand="1" w:val="04A0"/>
      </w:tblPr>
      <w:tblGrid>
        <w:gridCol w:w="227"/>
        <w:gridCol w:w="9745"/>
      </w:tblGrid>
      <w:tr>
        <w:tc>
          <w:tcPr>
            <w:tcW w:type="dxa" w:w="227"/>
            <w:shd w:val="clear" w:color="auto" w:fill="D9822B"/>
          </w:tcPr>
          <w:p/>
        </w:tc>
        <w:tc>
          <w:tcPr>
            <w:tcW w:type="dxa" w:w="9745"/>
          </w:tcPr>
          <w:p>
            <w:pPr>
              <w:spacing w:after="120"/>
            </w:pPr>
            <w:r>
              <w:rPr>
                <w:b/>
                <w:color w:val="2E4057"/>
                <w:sz w:val="26"/>
              </w:rPr>
              <w:t>TABLEAU DES CINQ DERNIERS EXERCICES (SYNTHÈSE)</w:t>
            </w:r>
          </w:p>
        </w:tc>
      </w:tr>
    </w:tbl>
    <w:tbl>
      <w:tblPr>
        <w:tblW w:type="auto" w:w="0"/>
        <w:jc w:val="center"/>
        <w:tblLayout w:type="fixed"/>
        <w:tblLook w:firstColumn="1" w:firstRow="1" w:lastColumn="0" w:lastRow="0" w:noHBand="0" w:noVBand="1" w:val="04A0"/>
      </w:tblPr>
      <w:tblGrid>
        <w:gridCol w:w="1496"/>
        <w:gridCol w:w="2161"/>
        <w:gridCol w:w="2161"/>
        <w:gridCol w:w="1828"/>
        <w:gridCol w:w="2327"/>
      </w:tblGrid>
      <w:tr>
        <w:tc>
          <w:tcPr>
            <w:tcW w:type="dxa" w:w="1496"/>
            <w:shd w:val="clear" w:color="auto" w:fill="F5F7F9"/>
          </w:tcPr>
          <w:p>
            <w:pPr>
              <w:jc w:val="center"/>
            </w:pPr>
            <w:r>
              <w:rPr>
                <w:b/>
                <w:color w:val="2E4057"/>
                <w:sz w:val="20"/>
              </w:rPr>
              <w:t>Exercice</w:t>
            </w:r>
          </w:p>
        </w:tc>
        <w:tc>
          <w:tcPr>
            <w:tcW w:type="dxa" w:w="2161"/>
            <w:shd w:val="clear" w:color="auto" w:fill="F5F7F9"/>
          </w:tcPr>
          <w:p>
            <w:pPr>
              <w:jc w:val="center"/>
            </w:pPr>
            <w:r>
              <w:rPr>
                <w:b/>
                <w:color w:val="2E4057"/>
                <w:sz w:val="20"/>
              </w:rPr>
              <w:t>CA (€)</w:t>
            </w:r>
          </w:p>
        </w:tc>
        <w:tc>
          <w:tcPr>
            <w:tcW w:type="dxa" w:w="2161"/>
            <w:shd w:val="clear" w:color="auto" w:fill="F5F7F9"/>
          </w:tcPr>
          <w:p>
            <w:pPr>
              <w:jc w:val="center"/>
            </w:pPr>
            <w:r>
              <w:rPr>
                <w:b/>
                <w:color w:val="2E4057"/>
                <w:sz w:val="20"/>
              </w:rPr>
              <w:t>Résultat net (€)</w:t>
            </w:r>
          </w:p>
        </w:tc>
        <w:tc>
          <w:tcPr>
            <w:tcW w:type="dxa" w:w="1828"/>
            <w:shd w:val="clear" w:color="auto" w:fill="F5F7F9"/>
          </w:tcPr>
          <w:p>
            <w:pPr>
              <w:jc w:val="center"/>
            </w:pPr>
            <w:r>
              <w:rPr>
                <w:b/>
                <w:color w:val="2E4057"/>
                <w:sz w:val="20"/>
              </w:rPr>
              <w:t>Effectif moyen</w:t>
            </w:r>
          </w:p>
        </w:tc>
        <w:tc>
          <w:tcPr>
            <w:tcW w:type="dxa" w:w="2327"/>
            <w:shd w:val="clear" w:color="auto" w:fill="F5F7F9"/>
          </w:tcPr>
          <w:p>
            <w:pPr>
              <w:jc w:val="center"/>
            </w:pPr>
            <w:r>
              <w:rPr>
                <w:b/>
                <w:color w:val="2E4057"/>
                <w:sz w:val="20"/>
              </w:rPr>
              <w:t>Dividendes versés (€/part)</w:t>
            </w:r>
          </w:p>
        </w:tc>
      </w:tr>
      <w:tr>
        <w:tc>
          <w:tcPr>
            <w:tcW w:type="dxa" w:w="1496"/>
          </w:tcPr>
          <w:p>
            <w:r>
              <w:rPr>
                <w:sz w:val="20"/>
              </w:rPr>
              <w:t>2021</w:t>
            </w:r>
          </w:p>
        </w:tc>
        <w:tc>
          <w:tcPr>
            <w:tcW w:type="dxa" w:w="2161"/>
          </w:tcPr>
          <w:p>
            <w:r>
              <w:rPr>
                <w:sz w:val="20"/>
              </w:rPr>
              <w:t>8 200 000</w:t>
            </w:r>
          </w:p>
        </w:tc>
        <w:tc>
          <w:tcPr>
            <w:tcW w:type="dxa" w:w="2161"/>
          </w:tcPr>
          <w:p>
            <w:r>
              <w:rPr>
                <w:sz w:val="20"/>
              </w:rPr>
              <w:t>420 000</w:t>
            </w:r>
          </w:p>
        </w:tc>
        <w:tc>
          <w:tcPr>
            <w:tcW w:type="dxa" w:w="1828"/>
          </w:tcPr>
          <w:p>
            <w:r>
              <w:rPr>
                <w:sz w:val="20"/>
              </w:rPr>
              <w:t>68</w:t>
            </w:r>
          </w:p>
        </w:tc>
        <w:tc>
          <w:tcPr>
            <w:tcW w:type="dxa" w:w="2327"/>
          </w:tcPr>
          <w:p>
            <w:r>
              <w:rPr>
                <w:sz w:val="20"/>
              </w:rPr>
              <w:t>0,80</w:t>
            </w:r>
          </w:p>
        </w:tc>
      </w:tr>
      <w:tr>
        <w:tc>
          <w:tcPr>
            <w:tcW w:type="dxa" w:w="1496"/>
          </w:tcPr>
          <w:p>
            <w:r>
              <w:rPr>
                <w:sz w:val="20"/>
              </w:rPr>
              <w:t>2022</w:t>
            </w:r>
          </w:p>
        </w:tc>
        <w:tc>
          <w:tcPr>
            <w:tcW w:type="dxa" w:w="2161"/>
          </w:tcPr>
          <w:p>
            <w:r>
              <w:rPr>
                <w:sz w:val="20"/>
              </w:rPr>
              <w:t>9 450 000</w:t>
            </w:r>
          </w:p>
        </w:tc>
        <w:tc>
          <w:tcPr>
            <w:tcW w:type="dxa" w:w="2161"/>
          </w:tcPr>
          <w:p>
            <w:r>
              <w:rPr>
                <w:sz w:val="20"/>
              </w:rPr>
              <w:t>600 000</w:t>
            </w:r>
          </w:p>
        </w:tc>
        <w:tc>
          <w:tcPr>
            <w:tcW w:type="dxa" w:w="1828"/>
          </w:tcPr>
          <w:p>
            <w:r>
              <w:rPr>
                <w:sz w:val="20"/>
              </w:rPr>
              <w:t>74</w:t>
            </w:r>
          </w:p>
        </w:tc>
        <w:tc>
          <w:tcPr>
            <w:tcW w:type="dxa" w:w="2327"/>
          </w:tcPr>
          <w:p>
            <w:r>
              <w:rPr>
                <w:sz w:val="20"/>
              </w:rPr>
              <w:t>0,90</w:t>
            </w:r>
          </w:p>
        </w:tc>
      </w:tr>
      <w:tr>
        <w:tc>
          <w:tcPr>
            <w:tcW w:type="dxa" w:w="1496"/>
          </w:tcPr>
          <w:p>
            <w:r>
              <w:rPr>
                <w:sz w:val="20"/>
              </w:rPr>
              <w:t>2023</w:t>
            </w:r>
          </w:p>
        </w:tc>
        <w:tc>
          <w:tcPr>
            <w:tcW w:type="dxa" w:w="2161"/>
          </w:tcPr>
          <w:p>
            <w:r>
              <w:rPr>
                <w:sz w:val="20"/>
              </w:rPr>
              <w:t>10 300 000</w:t>
            </w:r>
          </w:p>
        </w:tc>
        <w:tc>
          <w:tcPr>
            <w:tcW w:type="dxa" w:w="2161"/>
          </w:tcPr>
          <w:p>
            <w:r>
              <w:rPr>
                <w:sz w:val="20"/>
              </w:rPr>
              <w:t>740 000</w:t>
            </w:r>
          </w:p>
        </w:tc>
        <w:tc>
          <w:tcPr>
            <w:tcW w:type="dxa" w:w="1828"/>
          </w:tcPr>
          <w:p>
            <w:r>
              <w:rPr>
                <w:sz w:val="20"/>
              </w:rPr>
              <w:t>81</w:t>
            </w:r>
          </w:p>
        </w:tc>
        <w:tc>
          <w:tcPr>
            <w:tcW w:type="dxa" w:w="2327"/>
          </w:tcPr>
          <w:p>
            <w:r>
              <w:rPr>
                <w:sz w:val="20"/>
              </w:rPr>
              <w:t>0,95</w:t>
            </w:r>
          </w:p>
        </w:tc>
      </w:tr>
      <w:tr>
        <w:tc>
          <w:tcPr>
            <w:tcW w:type="dxa" w:w="1496"/>
          </w:tcPr>
          <w:p>
            <w:r>
              <w:rPr>
                <w:sz w:val="20"/>
              </w:rPr>
              <w:t>2024</w:t>
            </w:r>
          </w:p>
        </w:tc>
        <w:tc>
          <w:tcPr>
            <w:tcW w:type="dxa" w:w="2161"/>
          </w:tcPr>
          <w:p>
            <w:r>
              <w:rPr>
                <w:sz w:val="20"/>
              </w:rPr>
              <w:t>10 940 000</w:t>
            </w:r>
          </w:p>
        </w:tc>
        <w:tc>
          <w:tcPr>
            <w:tcW w:type="dxa" w:w="2161"/>
          </w:tcPr>
          <w:p>
            <w:r>
              <w:rPr>
                <w:sz w:val="20"/>
              </w:rPr>
              <w:t>820 000</w:t>
            </w:r>
          </w:p>
        </w:tc>
        <w:tc>
          <w:tcPr>
            <w:tcW w:type="dxa" w:w="1828"/>
          </w:tcPr>
          <w:p>
            <w:r>
              <w:rPr>
                <w:sz w:val="20"/>
              </w:rPr>
              <w:t>86</w:t>
            </w:r>
          </w:p>
        </w:tc>
        <w:tc>
          <w:tcPr>
            <w:tcW w:type="dxa" w:w="2327"/>
          </w:tcPr>
          <w:p>
            <w:r>
              <w:rPr>
                <w:sz w:val="20"/>
              </w:rPr>
              <w:t>1,00</w:t>
            </w:r>
          </w:p>
        </w:tc>
      </w:tr>
      <w:tr>
        <w:tc>
          <w:tcPr>
            <w:tcW w:type="dxa" w:w="1496"/>
          </w:tcPr>
          <w:p>
            <w:r>
              <w:rPr>
                <w:sz w:val="20"/>
              </w:rPr>
              <w:t>2025</w:t>
            </w:r>
          </w:p>
        </w:tc>
        <w:tc>
          <w:tcPr>
            <w:tcW w:type="dxa" w:w="2161"/>
          </w:tcPr>
          <w:p>
            <w:r>
              <w:rPr>
                <w:sz w:val="20"/>
              </w:rPr>
              <w:t>12 800 000</w:t>
            </w:r>
          </w:p>
        </w:tc>
        <w:tc>
          <w:tcPr>
            <w:tcW w:type="dxa" w:w="2161"/>
          </w:tcPr>
          <w:p>
            <w:r>
              <w:rPr>
                <w:sz w:val="20"/>
              </w:rPr>
              <w:t>1 120 000</w:t>
            </w:r>
          </w:p>
        </w:tc>
        <w:tc>
          <w:tcPr>
            <w:tcW w:type="dxa" w:w="1828"/>
          </w:tcPr>
          <w:p>
            <w:r>
              <w:rPr>
                <w:sz w:val="20"/>
              </w:rPr>
              <w:t>94</w:t>
            </w:r>
          </w:p>
        </w:tc>
        <w:tc>
          <w:tcPr>
            <w:tcW w:type="dxa" w:w="2327"/>
          </w:tcPr>
          <w:p>
            <w:r>
              <w:rPr>
                <w:sz w:val="20"/>
              </w:rPr>
              <w:t>1,20</w:t>
            </w:r>
          </w:p>
        </w:tc>
      </w:tr>
      <w:tr>
        <w:tc>
          <w:tcPr>
            <w:tcW w:type="dxa" w:w="1496"/>
          </w:tcPr>
          <w:p/>
        </w:tc>
        <w:tc>
          <w:tcPr>
            <w:tcW w:type="dxa" w:w="2161"/>
          </w:tcPr>
          <w:p/>
        </w:tc>
        <w:tc>
          <w:tcPr>
            <w:tcW w:type="dxa" w:w="2161"/>
          </w:tcPr>
          <w:p/>
        </w:tc>
        <w:tc>
          <w:tcPr>
            <w:tcW w:type="dxa" w:w="1828"/>
          </w:tcPr>
          <w:p/>
        </w:tc>
        <w:tc>
          <w:tcPr>
            <w:tcW w:type="dxa" w:w="2327"/>
          </w:tcPr>
          <w:p/>
        </w:tc>
      </w:tr>
    </w:tbl>
    <w:tbl>
      <w:tblPr>
        <w:tblW w:type="auto" w:w="0"/>
        <w:tblLayout w:type="fixed"/>
        <w:tblLook w:firstColumn="1" w:firstRow="1" w:lastColumn="0" w:lastRow="0" w:noHBand="0" w:noVBand="1" w:val="04A0"/>
      </w:tblPr>
      <w:tblGrid>
        <w:gridCol w:w="227"/>
        <w:gridCol w:w="9745"/>
      </w:tblGrid>
      <w:tr>
        <w:tc>
          <w:tcPr>
            <w:tcW w:type="dxa" w:w="227"/>
            <w:shd w:val="clear" w:color="auto" w:fill="10B981"/>
          </w:tcPr>
          <w:p/>
        </w:tc>
        <w:tc>
          <w:tcPr>
            <w:tcW w:type="dxa" w:w="9745"/>
          </w:tcPr>
          <w:p>
            <w:pPr>
              <w:spacing w:after="120"/>
            </w:pPr>
            <w:r>
              <w:rPr>
                <w:b/>
                <w:color w:val="2E4057"/>
                <w:sz w:val="26"/>
              </w:rPr>
              <w:t>CONVENTIONS RÉGLEMENTÉES (RÉFÉRENCE)</w:t>
            </w:r>
          </w:p>
        </w:tc>
      </w:tr>
    </w:tbl>
    <w:p>
      <w:pPr>
        <w:spacing w:after="120"/>
      </w:pPr>
      <w:r>
        <w:rPr>
          <w:b w:val="0"/>
          <w:i w:val="0"/>
          <w:color w:val="2E4057"/>
          <w:sz w:val="20"/>
        </w:rPr>
        <w:t>S’il y a lieu, renvoi au rapport spécial du Commissaire aux comptes sur les conventions réglementées.</w:t>
      </w:r>
    </w:p>
    <w:tbl>
      <w:tblPr>
        <w:tblW w:type="auto" w:w="0"/>
        <w:tblLayout w:type="fixed"/>
        <w:tblLook w:firstColumn="1" w:firstRow="1" w:lastColumn="0" w:lastRow="0" w:noHBand="0" w:noVBand="1" w:val="04A0"/>
      </w:tblPr>
      <w:tblGrid>
        <w:gridCol w:w="227"/>
        <w:gridCol w:w="9745"/>
      </w:tblGrid>
      <w:tr>
        <w:tc>
          <w:tcPr>
            <w:tcW w:type="dxa" w:w="227"/>
            <w:shd w:val="clear" w:color="auto" w:fill="D9822B"/>
          </w:tcPr>
          <w:p/>
        </w:tc>
        <w:tc>
          <w:tcPr>
            <w:tcW w:type="dxa" w:w="9745"/>
          </w:tcPr>
          <w:p>
            <w:pPr>
              <w:spacing w:after="120"/>
            </w:pPr>
            <w:r>
              <w:rPr>
                <w:b/>
                <w:color w:val="2E4057"/>
                <w:sz w:val="26"/>
              </w:rPr>
              <w:t>SIGNATURE</w:t>
            </w:r>
          </w:p>
        </w:tc>
      </w:tr>
    </w:tbl>
    <w:p>
      <w:pPr>
        <w:spacing w:after="120"/>
      </w:pPr>
      <w:r>
        <w:rPr>
          <w:b w:val="0"/>
          <w:i w:val="0"/>
          <w:color w:val="12141A"/>
          <w:sz w:val="22"/>
        </w:rPr>
        <w:t>Fait à Lyon, le 28/02/2026</w:t>
      </w:r>
    </w:p>
    <w:p>
      <w:pPr>
        <w:spacing w:after="120"/>
      </w:pPr>
      <w:r>
        <w:rPr>
          <w:b w:val="0"/>
          <w:i w:val="0"/>
          <w:color w:val="12141A"/>
          <w:sz w:val="22"/>
        </w:rPr>
        <w:t>Le Président</w:t>
      </w:r>
    </w:p>
    <w:p>
      <w:pPr>
        <w:spacing w:after="120"/>
      </w:pPr>
      <w:r>
        <w:rPr>
          <w:b w:val="0"/>
          <w:i w:val="0"/>
          <w:color w:val="12141A"/>
          <w:sz w:val="22"/>
        </w:rPr>
        <w:t>Camille Bernard (signature)</w:t>
      </w:r>
    </w:p>
    <w:p>
      <w:pPr>
        <w:spacing w:after="120"/>
      </w:pPr>
      <w:r>
        <w:rPr>
          <w:b w:val="0"/>
          <w:i w:val="0"/>
          <w:color w:val="2E4057"/>
          <w:sz w:val="18"/>
        </w:rPr>
        <w:t>Avertissement : ce document est un exemple éditorial. Vérifiez vos obligations légales (taille, statut, CAC, secteur) avant diffusion.</w:t>
      </w:r>
    </w:p>
    <w:sectPr w:rsidR="00FC693F" w:rsidRPr="0006063C" w:rsidSect="00034616">
      <w:footerReference w:type="default" r:id="rId9"/>
      <w:pgSz w:w="12240" w:h="15840"/>
      <w:pgMar w:top="1134" w:right="1134" w:bottom="1134" w:left="113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rPr>
        <w:color w:val="2E4057"/>
        <w:sz w:val="18"/>
      </w:rPr>
      <w:t>lecoursgratuit.com · Rapport de gestion — SAS (exemple rempli)</w:t>
    </w:r>
  </w:p>
</w:ft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