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noWrap/>
            <w:noWrap/>
            <w:noWrap/>
            <w:noWrap/>
            <w:noWrap/>
            <w:noWrap/>
            <w:shd w:val="clear" w:color="auto" w:fill="008484"/>
          </w:tcPr>
          <w:p>
            <w:pPr>
              <w:spacing w:before="0" w:after="0"/>
            </w:pPr>
            <w:r>
              <w:br/>
            </w:r>
          </w:p>
        </w:tc>
      </w:tr>
    </w:tbl>
    <w:p>
      <w:pPr>
        <w:jc w:val="center"/>
      </w:pPr>
      <w:r>
        <w:rPr>
          <w:b/>
          <w:color w:val="008484"/>
          <w:sz w:val="48"/>
        </w:rPr>
        <w:t>Rapport Annuel Hygiène &amp; Sécurité — 2025</w:t>
      </w:r>
    </w:p>
    <w:p>
      <w:pPr>
        <w:spacing w:after="40"/>
        <w:jc w:val="center"/>
      </w:pPr>
      <w:r>
        <w:rPr>
          <w:sz w:val="24"/>
        </w:rPr>
        <w:t xml:space="preserve">Entreprise / Site : </w:t>
      </w:r>
      <w:r>
        <w:rPr>
          <w:b/>
        </w:rPr>
        <w:t>À compléter</w:t>
      </w:r>
    </w:p>
    <w:p>
      <w:pPr>
        <w:jc w:val="center"/>
      </w:pPr>
      <w:r>
        <w:rPr>
          <w:sz w:val="24"/>
        </w:rPr>
        <w:t xml:space="preserve">Responsable HSE : </w:t>
      </w:r>
      <w:r>
        <w:t>À compléter</w:t>
      </w:r>
    </w:p>
    <w:p>
      <w:pPr>
        <w:spacing w:after="120"/>
      </w:pP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noWrap/>
            <w:noWrap/>
            <w:noWrap/>
            <w:noWrap/>
            <w:noWrap/>
            <w:noWrap/>
            <w:shd w:val="clear" w:color="auto" w:fill="66CCCC"/>
          </w:tcPr>
          <w:p>
            <w:pPr>
              <w:spacing w:before="0" w:after="0"/>
            </w:pPr>
            <w:r>
              <w:br/>
            </w:r>
          </w:p>
        </w:tc>
      </w:tr>
    </w:tbl>
    <w:p>
      <w:pPr>
        <w:spacing w:before="240" w:after="120"/>
      </w:pPr>
      <w:r>
        <w:rPr>
          <w:b/>
          <w:color w:val="008484"/>
          <w:sz w:val="36"/>
        </w:rPr>
        <w:t>Résumé exécutif</w:t>
      </w:r>
    </w:p>
    <w:p>
      <w:pPr>
        <w:spacing w:after="120"/>
      </w:pPr>
      <w:r>
        <w:t>Présentez en une page les faits marquants, les tendances des indicateurs, les évolutions réglementaires et les priorités de l’année suivante.</w:t>
      </w:r>
    </w:p>
    <w:p>
      <w:pPr>
        <w:spacing w:before="240" w:after="120"/>
      </w:pPr>
      <w:r>
        <w:rPr>
          <w:b/>
          <w:color w:val="008484"/>
          <w:sz w:val="36"/>
        </w:rPr>
        <w:t>1. Profil HSE du site</w:t>
      </w:r>
    </w:p>
    <w:p>
      <w:pPr>
        <w:spacing w:after="120"/>
      </w:pPr>
      <w:r>
        <w:t>Effectif moyen, activités, certifications (ISO 45001, ISO 14001, etc.), sous-traitants, périmètre du rapport.</w:t>
      </w:r>
    </w:p>
    <w:tbl>
      <w:tblPr>
        <w:tblStyle w:val="MediumShading1-Accent1"/>
        <w:tblW w:type="auto" w:w="0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c>
          <w:tcPr>
            <w:tcW w:type="dxa" w:w="3289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3289"/>
          </w:tcPr>
          <w:p>
            <w:pPr>
              <w:jc w:val="center"/>
            </w:pPr>
            <w:r>
              <w:rPr>
                <w:b/>
              </w:rPr>
              <w:t>Détail</w:t>
            </w:r>
          </w:p>
        </w:tc>
        <w:tc>
          <w:tcPr>
            <w:tcW w:type="dxa" w:w="3289"/>
          </w:tcPr>
          <w:p>
            <w:pPr>
              <w:jc w:val="center"/>
            </w:pPr>
            <w:r>
              <w:rPr>
                <w:b/>
              </w:rPr>
              <w:t>Commentaire</w:t>
            </w:r>
          </w:p>
        </w:tc>
      </w:tr>
      <w:tr>
        <w:tc>
          <w:tcPr>
            <w:tcW w:type="dxa" w:w="3289"/>
          </w:tcPr>
          <w:p>
            <w:r>
              <w:t>À compléter</w:t>
            </w:r>
          </w:p>
        </w:tc>
        <w:tc>
          <w:tcPr>
            <w:tcW w:type="dxa" w:w="3289"/>
          </w:tcPr>
          <w:p>
            <w:r>
              <w:t>À compléter</w:t>
            </w:r>
          </w:p>
        </w:tc>
        <w:tc>
          <w:tcPr>
            <w:tcW w:type="dxa" w:w="3289"/>
          </w:tcPr>
          <w:p>
            <w:r>
              <w:t>À compléter</w:t>
            </w:r>
          </w:p>
        </w:tc>
      </w:tr>
      <w:tr>
        <w:tc>
          <w:tcPr>
            <w:tcW w:type="dxa" w:w="3289"/>
          </w:tcPr>
          <w:p>
            <w:r>
              <w:t>À compléter</w:t>
            </w:r>
          </w:p>
        </w:tc>
        <w:tc>
          <w:tcPr>
            <w:tcW w:type="dxa" w:w="3289"/>
          </w:tcPr>
          <w:p>
            <w:r>
              <w:t>À compléter</w:t>
            </w:r>
          </w:p>
        </w:tc>
        <w:tc>
          <w:tcPr>
            <w:tcW w:type="dxa" w:w="3289"/>
          </w:tcPr>
          <w:p>
            <w:r>
              <w:t>À compléter</w:t>
            </w:r>
          </w:p>
        </w:tc>
      </w:tr>
      <w:tr>
        <w:tc>
          <w:tcPr>
            <w:tcW w:type="dxa" w:w="3289"/>
          </w:tcPr>
          <w:p>
            <w:r>
              <w:t>À compléter</w:t>
            </w:r>
          </w:p>
        </w:tc>
        <w:tc>
          <w:tcPr>
            <w:tcW w:type="dxa" w:w="3289"/>
          </w:tcPr>
          <w:p>
            <w:r>
              <w:t>À compléter</w:t>
            </w:r>
          </w:p>
        </w:tc>
        <w:tc>
          <w:tcPr>
            <w:tcW w:type="dxa" w:w="3289"/>
          </w:tcPr>
          <w:p>
            <w:r>
              <w:t>À compléter</w:t>
            </w:r>
          </w:p>
        </w:tc>
      </w:tr>
      <w:tr>
        <w:tc>
          <w:tcPr>
            <w:tcW w:type="dxa" w:w="3289"/>
          </w:tcPr>
          <w:p>
            <w:r>
              <w:t>À compléter</w:t>
            </w:r>
          </w:p>
        </w:tc>
        <w:tc>
          <w:tcPr>
            <w:tcW w:type="dxa" w:w="3289"/>
          </w:tcPr>
          <w:p>
            <w:r>
              <w:t>À compléter</w:t>
            </w:r>
          </w:p>
        </w:tc>
        <w:tc>
          <w:tcPr>
            <w:tcW w:type="dxa" w:w="3289"/>
          </w:tcPr>
          <w:p>
            <w:r>
              <w:t>À compléter</w:t>
            </w:r>
          </w:p>
        </w:tc>
      </w:tr>
      <w:tr>
        <w:tc>
          <w:tcPr>
            <w:tcW w:type="dxa" w:w="3289"/>
          </w:tcPr>
          <w:p>
            <w:r>
              <w:t>À compléter</w:t>
            </w:r>
          </w:p>
        </w:tc>
        <w:tc>
          <w:tcPr>
            <w:tcW w:type="dxa" w:w="3289"/>
          </w:tcPr>
          <w:p>
            <w:r>
              <w:t>À compléter</w:t>
            </w:r>
          </w:p>
        </w:tc>
        <w:tc>
          <w:tcPr>
            <w:tcW w:type="dxa" w:w="3289"/>
          </w:tcPr>
          <w:p>
            <w:r>
              <w:t>À compléter</w:t>
            </w:r>
          </w:p>
        </w:tc>
      </w:tr>
    </w:tbl>
    <w:p>
      <w:pPr>
        <w:spacing w:before="240" w:after="120"/>
      </w:pPr>
      <w:r>
        <w:rPr>
          <w:b/>
          <w:color w:val="008484"/>
          <w:sz w:val="36"/>
        </w:rPr>
        <w:t>2. Indicateurs clés (KPIs)</w:t>
      </w:r>
    </w:p>
    <w:p>
      <w:pPr>
        <w:spacing w:after="120"/>
      </w:pPr>
      <w:r>
        <w:t>Renseignez les taux et volumes : AT avec arrêt/sans arrêt, jours perdus, TF, TG, taux de formation HSE, conformité EPI, nombre d’audits/écarts, presqu’accidents déclarés, etc.</w:t>
      </w:r>
    </w:p>
    <w:tbl>
      <w:tblPr>
        <w:tblStyle w:val="MediumShading1-Accent1"/>
        <w:tblW w:type="auto" w:w="0"/>
        <w:tblLook w:firstColumn="1" w:firstRow="1" w:lastColumn="0" w:lastRow="0" w:noHBand="0" w:noVBand="1" w:val="04A0"/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</w:tcPr>
          <w:p>
            <w:pPr>
              <w:jc w:val="center"/>
            </w:pPr>
            <w:r>
              <w:rPr>
                <w:b/>
              </w:rPr>
              <w:t>Indicateur</w:t>
            </w:r>
          </w:p>
        </w:tc>
        <w:tc>
          <w:tcPr>
            <w:tcW w:type="dxa" w:w="1973"/>
          </w:tcPr>
          <w:p>
            <w:pPr>
              <w:jc w:val="center"/>
            </w:pPr>
            <w:r>
              <w:rPr>
                <w:b/>
              </w:rPr>
              <w:t>Objectif</w:t>
            </w:r>
          </w:p>
        </w:tc>
        <w:tc>
          <w:tcPr>
            <w:tcW w:type="dxa" w:w="1973"/>
          </w:tcPr>
          <w:p>
            <w:pPr>
              <w:jc w:val="center"/>
            </w:pPr>
            <w:r>
              <w:rPr>
                <w:b/>
              </w:rPr>
              <w:t>Réalisé</w:t>
            </w:r>
          </w:p>
        </w:tc>
        <w:tc>
          <w:tcPr>
            <w:tcW w:type="dxa" w:w="1973"/>
          </w:tcPr>
          <w:p>
            <w:pPr>
              <w:jc w:val="center"/>
            </w:pPr>
            <w:r>
              <w:rPr>
                <w:b/>
              </w:rPr>
              <w:t>Écart</w:t>
            </w:r>
          </w:p>
        </w:tc>
        <w:tc>
          <w:tcPr>
            <w:tcW w:type="dxa" w:w="1973"/>
          </w:tcPr>
          <w:p>
            <w:pPr>
              <w:jc w:val="center"/>
            </w:pPr>
            <w:r>
              <w:rPr>
                <w:b/>
              </w:rPr>
              <w:t>Commentaire</w:t>
            </w:r>
          </w:p>
        </w:tc>
      </w:tr>
      <w:tr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</w:tr>
      <w:tr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</w:tr>
      <w:tr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</w:tr>
      <w:tr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</w:tr>
      <w:tr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</w:tr>
      <w:tr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</w:tr>
      <w:tr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</w:tr>
      <w:tr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</w:tr>
      <w:tr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</w:tr>
      <w:tr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  <w:tc>
          <w:tcPr>
            <w:tcW w:type="dxa" w:w="1973"/>
          </w:tcPr>
          <w:p>
            <w:r>
              <w:t>À compléter</w:t>
            </w:r>
          </w:p>
        </w:tc>
      </w:tr>
    </w:tbl>
    <w:p>
      <w:pPr>
        <w:spacing w:before="240" w:after="120"/>
      </w:pPr>
      <w:r>
        <w:rPr>
          <w:b/>
          <w:color w:val="008484"/>
          <w:sz w:val="36"/>
        </w:rPr>
        <w:t>3. Événements &amp; incidents</w:t>
      </w:r>
    </w:p>
    <w:p>
      <w:pPr>
        <w:spacing w:after="120"/>
      </w:pPr>
      <w:r>
        <w:t>Listez les accidents, incidents, presqu’accidents et situations dangereuses avec la gravité, les causes et les actions correctives.</w:t>
      </w:r>
    </w:p>
    <w:tbl>
      <w:tblPr>
        <w:tblStyle w:val="MediumShading2-Accent1"/>
        <w:tblW w:type="auto" w:w="0"/>
        <w:tblLook w:firstColumn="1" w:firstRow="1" w:lastColumn="0" w:lastRow="0" w:noHBand="0" w:noVBand="1" w:val="04A0"/>
      </w:tblPr>
      <w:tblGrid>
        <w:gridCol w:w="1409"/>
        <w:gridCol w:w="1409"/>
        <w:gridCol w:w="1409"/>
        <w:gridCol w:w="1409"/>
        <w:gridCol w:w="1409"/>
        <w:gridCol w:w="1409"/>
        <w:gridCol w:w="1409"/>
      </w:tblGrid>
      <w:tr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Type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Gravité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Description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Causes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Actions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</w:tbl>
    <w:p>
      <w:pPr>
        <w:spacing w:before="240" w:after="120"/>
      </w:pPr>
      <w:r>
        <w:rPr>
          <w:b/>
          <w:color w:val="008484"/>
          <w:sz w:val="36"/>
        </w:rPr>
        <w:t>4. Audits &amp; inspections</w:t>
      </w:r>
    </w:p>
    <w:p>
      <w:pPr>
        <w:spacing w:after="120"/>
      </w:pPr>
      <w:r>
        <w:t>Récapitulatif des inspections planifiées et inopinées, résultats, écarts, clôtures et retours d’expérience.</w:t>
      </w:r>
    </w:p>
    <w:tbl>
      <w:tblPr>
        <w:tblStyle w:val="MediumShading1-Accent1"/>
        <w:tblW w:type="auto" w:w="0"/>
        <w:tblLook w:firstColumn="1" w:firstRow="1" w:lastColumn="0" w:lastRow="0" w:noHBand="0" w:noVBand="1" w:val="04A0"/>
      </w:tblPr>
      <w:tblGrid>
        <w:gridCol w:w="1409"/>
        <w:gridCol w:w="1409"/>
        <w:gridCol w:w="1409"/>
        <w:gridCol w:w="1409"/>
        <w:gridCol w:w="1409"/>
        <w:gridCol w:w="1409"/>
        <w:gridCol w:w="1409"/>
      </w:tblGrid>
      <w:tr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Référence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Portée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Écarts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Gravité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Clôture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</w:tbl>
    <w:p>
      <w:pPr>
        <w:spacing w:before="240" w:after="120"/>
      </w:pPr>
      <w:r>
        <w:rPr>
          <w:b/>
          <w:color w:val="008484"/>
          <w:sz w:val="36"/>
        </w:rPr>
        <w:t>5. Formation &amp; sensibilisation</w:t>
      </w:r>
    </w:p>
    <w:p>
      <w:pPr>
        <w:spacing w:after="120"/>
      </w:pPr>
      <w:r>
        <w:t>Formations obligatoires et spécifiques, habilitations, causeries sécurité, diffusion d’alertes et campagnes.</w:t>
      </w:r>
    </w:p>
    <w:tbl>
      <w:tblPr>
        <w:tblStyle w:val="LightList-Accent1"/>
        <w:tblW w:type="auto" w:w="0"/>
        <w:tblLook w:firstColumn="1" w:firstRow="1" w:lastColumn="0" w:lastRow="0" w:noHBand="0" w:noVBand="1" w:val="04A0"/>
      </w:tblPr>
      <w:tblGrid>
        <w:gridCol w:w="1644"/>
        <w:gridCol w:w="1644"/>
        <w:gridCol w:w="1644"/>
        <w:gridCol w:w="1644"/>
        <w:gridCol w:w="1644"/>
        <w:gridCol w:w="1644"/>
      </w:tblGrid>
      <w:tr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Action/Module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Public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Volume (h)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Taux de réalisation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Support/Preuve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</w:tbl>
    <w:p>
      <w:pPr>
        <w:spacing w:before="240" w:after="120"/>
      </w:pPr>
      <w:r>
        <w:rPr>
          <w:b/>
          <w:color w:val="008484"/>
          <w:sz w:val="36"/>
        </w:rPr>
        <w:t>6. Équipements &amp; EPI</w:t>
      </w:r>
    </w:p>
    <w:p>
      <w:pPr>
        <w:spacing w:after="120"/>
      </w:pPr>
      <w:r>
        <w:t>État des EPI, contrôles périodiques, conformité, taux d’assignation, anomalies récurrentes.</w:t>
      </w:r>
    </w:p>
    <w:tbl>
      <w:tblPr>
        <w:tblStyle w:val="MediumShading1-Accent1"/>
        <w:tblW w:type="auto" w:w="0"/>
        <w:tblLook w:firstColumn="1" w:firstRow="1" w:lastColumn="0" w:lastRow="0" w:noHBand="0" w:noVBand="1" w:val="04A0"/>
      </w:tblPr>
      <w:tblGrid>
        <w:gridCol w:w="1644"/>
        <w:gridCol w:w="1644"/>
        <w:gridCol w:w="1644"/>
        <w:gridCol w:w="1644"/>
        <w:gridCol w:w="1644"/>
        <w:gridCol w:w="1644"/>
      </w:tblGrid>
      <w:tr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Famille EPI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Conformité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Taux d’assignation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Contrôle périodique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Écarts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Actions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</w:tbl>
    <w:p>
      <w:pPr>
        <w:spacing w:before="240" w:after="120"/>
      </w:pPr>
      <w:r>
        <w:rPr>
          <w:b/>
          <w:color w:val="008484"/>
          <w:sz w:val="36"/>
        </w:rPr>
        <w:t>7. Analyses de risques &amp; contrôles opérationnels</w:t>
      </w:r>
    </w:p>
    <w:p>
      <w:pPr>
        <w:spacing w:after="120"/>
      </w:pPr>
      <w:r>
        <w:t>Mises à jour du DUERP/évaluation des risques, retours AMDEC, consignations, permis de travail, consignations, LOTO.</w:t>
      </w:r>
    </w:p>
    <w:tbl>
      <w:tblPr>
        <w:tblStyle w:val="MediumShading1-Accent1"/>
        <w:tblW w:type="auto" w:w="0"/>
        <w:tblLook w:firstColumn="1" w:firstRow="1" w:lastColumn="0" w:lastRow="0" w:noHBand="0" w:noVBand="1" w:val="04A0"/>
      </w:tblPr>
      <w:tblGrid>
        <w:gridCol w:w="1644"/>
        <w:gridCol w:w="1644"/>
        <w:gridCol w:w="1644"/>
        <w:gridCol w:w="1644"/>
        <w:gridCol w:w="1644"/>
        <w:gridCol w:w="1644"/>
      </w:tblGrid>
      <w:tr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Document/Process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Maj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Criticité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Mesures de maîtrise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44"/>
          </w:tcPr>
          <w:p>
            <w:pPr>
              <w:jc w:val="center"/>
            </w:pPr>
            <w:r>
              <w:rPr>
                <w:b/>
              </w:rPr>
              <w:t>Commentaire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  <w:tr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  <w:tc>
          <w:tcPr>
            <w:tcW w:type="dxa" w:w="1644"/>
          </w:tcPr>
          <w:p>
            <w:r>
              <w:t>À compléter</w:t>
            </w:r>
          </w:p>
        </w:tc>
      </w:tr>
    </w:tbl>
    <w:p>
      <w:pPr>
        <w:spacing w:before="240" w:after="120"/>
      </w:pPr>
      <w:r>
        <w:rPr>
          <w:b/>
          <w:color w:val="008484"/>
          <w:sz w:val="36"/>
        </w:rPr>
        <w:t>8. Plan d’actions — Année N+1</w:t>
      </w:r>
    </w:p>
    <w:p>
      <w:pPr>
        <w:spacing w:after="120"/>
      </w:pPr>
      <w:r>
        <w:t>Priorisez clairement : P1 (critique), P2 (majeur), P3 (standard). Suivez l’avancement en % et le statut.</w:t>
      </w:r>
    </w:p>
    <w:tbl>
      <w:tblPr>
        <w:tblStyle w:val="MediumGrid1-Accent1"/>
        <w:tblW w:type="auto" w:w="0"/>
        <w:tblLook w:firstColumn="1" w:firstRow="1" w:lastColumn="0" w:lastRow="0" w:noHBand="0" w:noVBand="1" w:val="04A0"/>
      </w:tblPr>
      <w:tblGrid>
        <w:gridCol w:w="1409"/>
        <w:gridCol w:w="1409"/>
        <w:gridCol w:w="1409"/>
        <w:gridCol w:w="1409"/>
        <w:gridCol w:w="1409"/>
        <w:gridCol w:w="1409"/>
        <w:gridCol w:w="1409"/>
      </w:tblGrid>
      <w:tr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Action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Priorité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Avancement (%)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409"/>
          </w:tcPr>
          <w:p>
            <w:pPr>
              <w:jc w:val="center"/>
            </w:pPr>
            <w:r>
              <w:rPr>
                <w:b/>
              </w:rPr>
              <w:t>Commentaire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  <w:tr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  <w:tc>
          <w:tcPr>
            <w:tcW w:type="dxa" w:w="1409"/>
          </w:tcPr>
          <w:p>
            <w:r>
              <w:t>À compléter</w:t>
            </w:r>
          </w:p>
        </w:tc>
      </w:tr>
    </w:tbl>
    <w:p>
      <w:pPr>
        <w:spacing w:before="240" w:after="120"/>
      </w:pPr>
      <w:r>
        <w:rPr>
          <w:b/>
          <w:color w:val="008484"/>
          <w:sz w:val="36"/>
        </w:rPr>
        <w:t>9. Revue de direction</w:t>
      </w:r>
    </w:p>
    <w:p>
      <w:pPr>
        <w:spacing w:after="120"/>
      </w:pPr>
      <w:r>
        <w:t>Décisions, arbitrages, besoins en moyens, objectifs révisés, engagements et conclusions.</w:t>
      </w:r>
    </w:p>
    <w:p>
      <w:pPr>
        <w:spacing w:before="240" w:after="120"/>
      </w:pPr>
      <w:r>
        <w:rPr>
          <w:b/>
          <w:color w:val="008484"/>
          <w:sz w:val="36"/>
        </w:rPr>
        <w:t>Annexes</w:t>
      </w:r>
    </w:p>
    <w:p>
      <w:pPr>
        <w:spacing w:after="120"/>
      </w:pPr>
      <w:r>
        <w:t>Pièces justificatives, rapports détaillés, relevés réglementaires, attestations, fiches de poste, fiches de données de sécurité, etc.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noWrap/>
            <w:noWrap/>
            <w:noWrap/>
            <w:noWrap/>
            <w:noWrap/>
            <w:noWrap/>
            <w:shd w:val="clear" w:color="auto" w:fill="008484"/>
          </w:tcPr>
          <w:p>
            <w:pPr>
              <w:spacing w:before="0" w:after="0"/>
            </w:pPr>
            <w:r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HSE (Hygiène &amp; Sécurité) — 2025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