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9866"/>
      </w:tblGrid>
      <w:tr>
        <w:tc>
          <w:tcPr>
            <w:tcW w:type="dxa" w:w="9866"/>
            <w:shd w:val="clear" w:color="auto" w:fill="008484"/>
          </w:tcPr>
          <w:p>
            <w:r>
              <w:br/>
            </w:r>
          </w:p>
        </w:tc>
      </w:tr>
    </w:tbl>
    <w:p>
      <w:pPr>
        <w:jc w:val="center"/>
      </w:pPr>
      <w:r>
        <w:rPr>
          <w:b/>
          <w:color w:val="008484"/>
          <w:sz w:val="48"/>
        </w:rPr>
        <w:t>Rapport Annuel Hygiène &amp; Sécurité — 2025</w:t>
      </w:r>
    </w:p>
    <w:p>
      <w:pPr>
        <w:jc w:val="center"/>
      </w:pPr>
      <w:r>
        <w:rPr>
          <w:sz w:val="24"/>
        </w:rPr>
        <w:t xml:space="preserve">Entreprise / Site : </w:t>
      </w:r>
      <w:r>
        <w:rPr>
          <w:b/>
        </w:rPr>
        <w:t>Valdun Industrie — Site de Lille–Seclin (Hauts-de-France)</w:t>
      </w:r>
    </w:p>
    <w:p>
      <w:pPr>
        <w:jc w:val="center"/>
      </w:pPr>
      <w:r>
        <w:rPr>
          <w:sz w:val="24"/>
        </w:rPr>
        <w:t xml:space="preserve">Responsable HSE : </w:t>
      </w:r>
      <w:r>
        <w:t>Camille Lefort</w:t>
      </w:r>
    </w:p>
    <w:tbl>
      <w:tblPr>
        <w:tblW w:type="auto" w:w="0"/>
        <w:tblLook w:firstColumn="1" w:firstRow="1" w:lastColumn="0" w:lastRow="0" w:noHBand="0" w:noVBand="1" w:val="04A0"/>
      </w:tblPr>
      <w:tblGrid>
        <w:gridCol w:w="9866"/>
      </w:tblGrid>
      <w:tr>
        <w:tc>
          <w:tcPr>
            <w:tcW w:type="dxa" w:w="9866"/>
            <w:shd w:val="clear" w:color="auto" w:fill="66CCCC"/>
          </w:tcPr>
          <w:p>
            <w:r>
              <w:br/>
            </w:r>
          </w:p>
        </w:tc>
      </w:tr>
    </w:tbl>
    <w:p>
      <w:pPr>
        <w:spacing w:before="200" w:after="120"/>
      </w:pPr>
      <w:r>
        <w:rPr>
          <w:b/>
          <w:color w:val="008484"/>
          <w:sz w:val="36"/>
        </w:rPr>
        <w:t>Résumé exécutif</w:t>
      </w:r>
    </w:p>
    <w:p>
      <w:pPr>
        <w:spacing w:after="120"/>
      </w:pPr>
      <w:r>
        <w:t>Année rythmée par une meilleure déclaration des presqu’accidents et des résultats solides sur les fondamentaux. Un accident avec arrêt (entorse en sertissage) a entraîné la pose d’un sol antidérapant et un renforcement des standards 5S. La préparation ISO 14001 a dynamisé la gestion des déchets, la tenue des zones chimiques et les exercices d’évacuation. Priorités N+1 : sécuriser la zone de sertissage, fiabiliser le stockage des produits chimiques, diffuser un affichage HSE en atelier.</w:t>
      </w:r>
    </w:p>
    <w:p>
      <w:pPr>
        <w:spacing w:before="200" w:after="120"/>
      </w:pPr>
      <w:r>
        <w:rPr>
          <w:b/>
          <w:color w:val="008484"/>
          <w:sz w:val="36"/>
        </w:rPr>
        <w:t>1. Profil HSE du site</w:t>
      </w:r>
    </w:p>
    <w:p>
      <w:pPr>
        <w:spacing w:after="120"/>
      </w:pPr>
      <w:r>
        <w:t>Site de Lille–Seclin, 320 salariés (240 en production, 80 en support). Activité : fabrication d’armoires électriques et câblage filaire. Certifications : ISO 9001:2015 ; ISO 14001 en préparation (pré‑audit 10/12/2025). Sous-traitants critiques : vérification extincteurs (Apave Nord), contrôles levage (Bureau Veritas). Périmètre : ateliers A/B, magasin, quais, bureaux, zones de test.</w:t>
      </w:r>
    </w:p>
    <w:tbl>
      <w:tblPr>
        <w:tblStyle w:val="MediumShading1-Accent1"/>
        <w:tblW w:type="auto" w:w="0"/>
        <w:tblLook w:firstColumn="1" w:firstRow="1" w:lastColumn="0" w:lastRow="0" w:noHBand="0" w:noVBand="1" w:val="04A0"/>
      </w:tblPr>
      <w:tblGrid>
        <w:gridCol w:w="3289"/>
        <w:gridCol w:w="3289"/>
        <w:gridCol w:w="3289"/>
      </w:tblGrid>
      <w:tr>
        <w:tc>
          <w:tcPr>
            <w:tcW w:type="dxa" w:w="3289"/>
          </w:tcPr>
          <w:p>
            <w:pPr>
              <w:jc w:val="center"/>
            </w:pPr>
            <w:r>
              <w:rPr>
                <w:b/>
              </w:rPr>
              <w:t>Élément</w:t>
            </w:r>
          </w:p>
        </w:tc>
        <w:tc>
          <w:tcPr>
            <w:tcW w:type="dxa" w:w="3289"/>
          </w:tcPr>
          <w:p>
            <w:pPr>
              <w:jc w:val="center"/>
            </w:pPr>
            <w:r>
              <w:rPr>
                <w:b/>
              </w:rPr>
              <w:t>Détail</w:t>
            </w:r>
          </w:p>
        </w:tc>
        <w:tc>
          <w:tcPr>
            <w:tcW w:type="dxa" w:w="3289"/>
          </w:tcPr>
          <w:p>
            <w:pPr>
              <w:jc w:val="center"/>
            </w:pPr>
            <w:r>
              <w:rPr>
                <w:b/>
              </w:rPr>
              <w:t>Commentaire</w:t>
            </w:r>
          </w:p>
        </w:tc>
      </w:tr>
      <w:tr>
        <w:tc>
          <w:tcPr>
            <w:tcW w:type="dxa" w:w="3289"/>
          </w:tcPr>
          <w:p>
            <w:r>
              <w:t>Effectif moyen</w:t>
            </w:r>
          </w:p>
        </w:tc>
        <w:tc>
          <w:tcPr>
            <w:tcW w:type="dxa" w:w="3289"/>
          </w:tcPr>
          <w:p>
            <w:r>
              <w:t>320 salariés (240 production, 80 support)</w:t>
            </w:r>
          </w:p>
        </w:tc>
        <w:tc>
          <w:tcPr>
            <w:tcW w:type="dxa" w:w="3289"/>
          </w:tcPr>
          <w:p>
            <w:r>
              <w:t>Pics à 360 au quatrième trimestre</w:t>
            </w:r>
          </w:p>
        </w:tc>
      </w:tr>
      <w:tr>
        <w:tc>
          <w:tcPr>
            <w:tcW w:type="dxa" w:w="3289"/>
          </w:tcPr>
          <w:p>
            <w:r>
              <w:t>Activités</w:t>
            </w:r>
          </w:p>
        </w:tc>
        <w:tc>
          <w:tcPr>
            <w:tcW w:type="dxa" w:w="3289"/>
          </w:tcPr>
          <w:p>
            <w:r>
              <w:t>Fabrication d’armoires électriques et câblage filaire</w:t>
            </w:r>
          </w:p>
        </w:tc>
        <w:tc>
          <w:tcPr>
            <w:tcW w:type="dxa" w:w="3289"/>
          </w:tcPr>
          <w:p>
            <w:r>
              <w:t>Ateliers A/B, magasin, laboratoire d’essais</w:t>
            </w:r>
          </w:p>
        </w:tc>
      </w:tr>
      <w:tr>
        <w:tc>
          <w:tcPr>
            <w:tcW w:type="dxa" w:w="3289"/>
          </w:tcPr>
          <w:p>
            <w:r>
              <w:t>Certifications</w:t>
            </w:r>
          </w:p>
        </w:tc>
        <w:tc>
          <w:tcPr>
            <w:tcW w:type="dxa" w:w="3289"/>
          </w:tcPr>
          <w:p>
            <w:r>
              <w:t>ISO 9001:2015 ; ISO 14001 (préparation)</w:t>
            </w:r>
          </w:p>
        </w:tc>
        <w:tc>
          <w:tcPr>
            <w:tcW w:type="dxa" w:w="3289"/>
          </w:tcPr>
          <w:p>
            <w:r>
              <w:t>Pré-audit 10/12/2025, certification visée 06/2026</w:t>
            </w:r>
          </w:p>
        </w:tc>
      </w:tr>
      <w:tr>
        <w:tc>
          <w:tcPr>
            <w:tcW w:type="dxa" w:w="3289"/>
          </w:tcPr>
          <w:p>
            <w:r>
              <w:t>Sous-traitants</w:t>
            </w:r>
          </w:p>
        </w:tc>
        <w:tc>
          <w:tcPr>
            <w:tcW w:type="dxa" w:w="3289"/>
          </w:tcPr>
          <w:p>
            <w:r>
              <w:t>Apave Nord (incendie), Bureau Veritas (levage)</w:t>
            </w:r>
          </w:p>
        </w:tc>
        <w:tc>
          <w:tcPr>
            <w:tcW w:type="dxa" w:w="3289"/>
          </w:tcPr>
          <w:p>
            <w:r>
              <w:t>Contrats révisés en 2025</w:t>
            </w:r>
          </w:p>
        </w:tc>
      </w:tr>
      <w:tr>
        <w:tc>
          <w:tcPr>
            <w:tcW w:type="dxa" w:w="3289"/>
          </w:tcPr>
          <w:p>
            <w:r>
              <w:t>Périmètre</w:t>
            </w:r>
          </w:p>
        </w:tc>
        <w:tc>
          <w:tcPr>
            <w:tcW w:type="dxa" w:w="3289"/>
          </w:tcPr>
          <w:p>
            <w:r>
              <w:t>Ateliers, quais de chargement Seclin, bureaux, zones de test</w:t>
            </w:r>
          </w:p>
        </w:tc>
        <w:tc>
          <w:tcPr>
            <w:tcW w:type="dxa" w:w="3289"/>
          </w:tcPr>
          <w:p>
            <w:r>
              <w:t>Rapport couvrant l’ensemble du site</w:t>
            </w:r>
          </w:p>
        </w:tc>
      </w:tr>
    </w:tbl>
    <w:p>
      <w:pPr>
        <w:spacing w:before="200" w:after="120"/>
      </w:pPr>
      <w:r>
        <w:rPr>
          <w:b/>
          <w:color w:val="008484"/>
          <w:sz w:val="36"/>
        </w:rPr>
        <w:t>2. Indicateurs clés (KPIs)</w:t>
      </w:r>
    </w:p>
    <w:p>
      <w:pPr>
        <w:spacing w:after="120"/>
      </w:pPr>
      <w:r>
        <w:t>Les indicateurs résument l’année : 1 AT avec arrêt (18 jours perdus), TF 2,1 ; TG 0,04 ; 17 presqu’accidents ; 7 audits internes et 1 écart critique clôturé. Conformité EPI à 97%. Les définitions s’appuient sur des méthodes de calcul stables et traçables.</w:t>
      </w:r>
    </w:p>
    <w:tbl>
      <w:tblPr>
        <w:tblStyle w:val="MediumShading1-Accent1"/>
        <w:tblW w:type="auto" w:w="0"/>
        <w:tblLook w:firstColumn="1" w:firstRow="1" w:lastColumn="0" w:lastRow="0" w:noHBand="0" w:noVBand="1" w:val="04A0"/>
      </w:tblPr>
      <w:tblGrid>
        <w:gridCol w:w="1973"/>
        <w:gridCol w:w="1973"/>
        <w:gridCol w:w="1973"/>
        <w:gridCol w:w="1973"/>
        <w:gridCol w:w="1973"/>
      </w:tblGrid>
      <w:tr>
        <w:tc>
          <w:tcPr>
            <w:tcW w:type="dxa" w:w="1973"/>
          </w:tcPr>
          <w:p>
            <w:pPr>
              <w:jc w:val="center"/>
            </w:pPr>
            <w:r>
              <w:rPr>
                <w:b/>
              </w:rPr>
              <w:t>Indicateur</w:t>
            </w:r>
          </w:p>
        </w:tc>
        <w:tc>
          <w:tcPr>
            <w:tcW w:type="dxa" w:w="1973"/>
          </w:tcPr>
          <w:p>
            <w:pPr>
              <w:jc w:val="center"/>
            </w:pPr>
            <w:r>
              <w:rPr>
                <w:b/>
              </w:rPr>
              <w:t>Objectif</w:t>
            </w:r>
          </w:p>
        </w:tc>
        <w:tc>
          <w:tcPr>
            <w:tcW w:type="dxa" w:w="1973"/>
          </w:tcPr>
          <w:p>
            <w:pPr>
              <w:jc w:val="center"/>
            </w:pPr>
            <w:r>
              <w:rPr>
                <w:b/>
              </w:rPr>
              <w:t>Réalisé</w:t>
            </w:r>
          </w:p>
        </w:tc>
        <w:tc>
          <w:tcPr>
            <w:tcW w:type="dxa" w:w="1973"/>
          </w:tcPr>
          <w:p>
            <w:pPr>
              <w:jc w:val="center"/>
            </w:pPr>
            <w:r>
              <w:rPr>
                <w:b/>
              </w:rPr>
              <w:t>Écart</w:t>
            </w:r>
          </w:p>
        </w:tc>
        <w:tc>
          <w:tcPr>
            <w:tcW w:type="dxa" w:w="1973"/>
          </w:tcPr>
          <w:p>
            <w:pPr>
              <w:jc w:val="center"/>
            </w:pPr>
            <w:r>
              <w:rPr>
                <w:b/>
              </w:rPr>
              <w:t>Commentaire</w:t>
            </w:r>
          </w:p>
        </w:tc>
      </w:tr>
      <w:tr>
        <w:tc>
          <w:tcPr>
            <w:tcW w:type="dxa" w:w="1973"/>
          </w:tcPr>
          <w:p>
            <w:r>
              <w:t>Accidents avec arrêt (AT)</w:t>
            </w:r>
          </w:p>
        </w:tc>
        <w:tc>
          <w:tcPr>
            <w:tcW w:type="dxa" w:w="1973"/>
          </w:tcPr>
          <w:p>
            <w:r>
              <w:t>0</w:t>
            </w:r>
          </w:p>
        </w:tc>
        <w:tc>
          <w:tcPr>
            <w:tcW w:type="dxa" w:w="1973"/>
          </w:tcPr>
          <w:p>
            <w:r>
              <w:t>1</w:t>
            </w:r>
          </w:p>
        </w:tc>
        <w:tc>
          <w:tcPr>
            <w:tcW w:type="dxa" w:w="1973"/>
          </w:tcPr>
          <w:p>
            <w:r>
              <w:t>-1</w:t>
            </w:r>
          </w:p>
        </w:tc>
        <w:tc>
          <w:tcPr>
            <w:tcW w:type="dxa" w:w="1973"/>
          </w:tcPr>
          <w:p>
            <w:r>
              <w:t>Entorse cheville (sertissage)</w:t>
            </w:r>
          </w:p>
        </w:tc>
      </w:tr>
      <w:tr>
        <w:tc>
          <w:tcPr>
            <w:tcW w:type="dxa" w:w="1973"/>
          </w:tcPr>
          <w:p>
            <w:r>
              <w:t>Accidents sans arrêt</w:t>
            </w:r>
          </w:p>
        </w:tc>
        <w:tc>
          <w:tcPr>
            <w:tcW w:type="dxa" w:w="1973"/>
          </w:tcPr>
          <w:p>
            <w:r>
              <w:t>≤ 3</w:t>
            </w:r>
          </w:p>
        </w:tc>
        <w:tc>
          <w:tcPr>
            <w:tcW w:type="dxa" w:w="1973"/>
          </w:tcPr>
          <w:p>
            <w:r>
              <w:t>2</w:t>
            </w:r>
          </w:p>
        </w:tc>
        <w:tc>
          <w:tcPr>
            <w:tcW w:type="dxa" w:w="1973"/>
          </w:tcPr>
          <w:p>
            <w:r>
              <w:t>+1</w:t>
            </w:r>
          </w:p>
        </w:tc>
        <w:tc>
          <w:tcPr>
            <w:tcW w:type="dxa" w:w="1973"/>
          </w:tcPr>
          <w:p>
            <w:r>
              <w:t>Déclarations effectuées</w:t>
            </w:r>
          </w:p>
        </w:tc>
      </w:tr>
      <w:tr>
        <w:tc>
          <w:tcPr>
            <w:tcW w:type="dxa" w:w="1973"/>
          </w:tcPr>
          <w:p>
            <w:r>
              <w:t>Jours perdus</w:t>
            </w:r>
          </w:p>
        </w:tc>
        <w:tc>
          <w:tcPr>
            <w:tcW w:type="dxa" w:w="1973"/>
          </w:tcPr>
          <w:p>
            <w:r>
              <w:t>≤ 10</w:t>
            </w:r>
          </w:p>
        </w:tc>
        <w:tc>
          <w:tcPr>
            <w:tcW w:type="dxa" w:w="1973"/>
          </w:tcPr>
          <w:p>
            <w:r>
              <w:t>18</w:t>
            </w:r>
          </w:p>
        </w:tc>
        <w:tc>
          <w:tcPr>
            <w:tcW w:type="dxa" w:w="1973"/>
          </w:tcPr>
          <w:p>
            <w:r>
              <w:t>-8</w:t>
            </w:r>
          </w:p>
        </w:tc>
        <w:tc>
          <w:tcPr>
            <w:tcW w:type="dxa" w:w="1973"/>
          </w:tcPr>
          <w:p>
            <w:r>
              <w:t>Suivi RH/CPAM</w:t>
            </w:r>
          </w:p>
        </w:tc>
      </w:tr>
      <w:tr>
        <w:tc>
          <w:tcPr>
            <w:tcW w:type="dxa" w:w="1973"/>
          </w:tcPr>
          <w:p>
            <w:r>
              <w:t>TF (taux de fréquence)</w:t>
            </w:r>
          </w:p>
        </w:tc>
        <w:tc>
          <w:tcPr>
            <w:tcW w:type="dxa" w:w="1973"/>
          </w:tcPr>
          <w:p>
            <w:r>
              <w:t>≤ 2,0</w:t>
            </w:r>
          </w:p>
        </w:tc>
        <w:tc>
          <w:tcPr>
            <w:tcW w:type="dxa" w:w="1973"/>
          </w:tcPr>
          <w:p>
            <w:r>
              <w:t>2,1</w:t>
            </w:r>
          </w:p>
        </w:tc>
        <w:tc>
          <w:tcPr>
            <w:tcW w:type="dxa" w:w="1973"/>
          </w:tcPr>
          <w:p>
            <w:r>
              <w:t>-0,1</w:t>
            </w:r>
          </w:p>
        </w:tc>
        <w:tc>
          <w:tcPr>
            <w:tcW w:type="dxa" w:w="1973"/>
          </w:tcPr>
          <w:p>
            <w:r>
              <w:t>1 AT / ~500 000 h</w:t>
            </w:r>
          </w:p>
        </w:tc>
      </w:tr>
      <w:tr>
        <w:tc>
          <w:tcPr>
            <w:tcW w:type="dxa" w:w="1973"/>
          </w:tcPr>
          <w:p>
            <w:r>
              <w:t>TG (taux de gravité)</w:t>
            </w:r>
          </w:p>
        </w:tc>
        <w:tc>
          <w:tcPr>
            <w:tcW w:type="dxa" w:w="1973"/>
          </w:tcPr>
          <w:p>
            <w:r>
              <w:t>≤ 0,05</w:t>
            </w:r>
          </w:p>
        </w:tc>
        <w:tc>
          <w:tcPr>
            <w:tcW w:type="dxa" w:w="1973"/>
          </w:tcPr>
          <w:p>
            <w:r>
              <w:t>0,04</w:t>
            </w:r>
          </w:p>
        </w:tc>
        <w:tc>
          <w:tcPr>
            <w:tcW w:type="dxa" w:w="1973"/>
          </w:tcPr>
          <w:p>
            <w:r>
              <w:t>+0,01</w:t>
            </w:r>
          </w:p>
        </w:tc>
        <w:tc>
          <w:tcPr>
            <w:tcW w:type="dxa" w:w="1973"/>
          </w:tcPr>
          <w:p>
            <w:r>
              <w:t>18 j / ~500 000 h</w:t>
            </w:r>
          </w:p>
        </w:tc>
      </w:tr>
      <w:tr>
        <w:tc>
          <w:tcPr>
            <w:tcW w:type="dxa" w:w="1973"/>
          </w:tcPr>
          <w:p>
            <w:r>
              <w:t>Presqu’accidents déclarés</w:t>
            </w:r>
          </w:p>
        </w:tc>
        <w:tc>
          <w:tcPr>
            <w:tcW w:type="dxa" w:w="1973"/>
          </w:tcPr>
          <w:p>
            <w:r>
              <w:t>≥ 12</w:t>
            </w:r>
          </w:p>
        </w:tc>
        <w:tc>
          <w:tcPr>
            <w:tcW w:type="dxa" w:w="1973"/>
          </w:tcPr>
          <w:p>
            <w:r>
              <w:t>17</w:t>
            </w:r>
          </w:p>
        </w:tc>
        <w:tc>
          <w:tcPr>
            <w:tcW w:type="dxa" w:w="1973"/>
          </w:tcPr>
          <w:p>
            <w:r>
              <w:t>+5</w:t>
            </w:r>
          </w:p>
        </w:tc>
        <w:tc>
          <w:tcPr>
            <w:tcW w:type="dxa" w:w="1973"/>
          </w:tcPr>
          <w:p>
            <w:r>
              <w:t>Culture de signalement en progrès</w:t>
            </w:r>
          </w:p>
        </w:tc>
      </w:tr>
      <w:tr>
        <w:tc>
          <w:tcPr>
            <w:tcW w:type="dxa" w:w="1973"/>
          </w:tcPr>
          <w:p>
            <w:r>
              <w:t>Audits internes réalisés</w:t>
            </w:r>
          </w:p>
        </w:tc>
        <w:tc>
          <w:tcPr>
            <w:tcW w:type="dxa" w:w="1973"/>
          </w:tcPr>
          <w:p>
            <w:r>
              <w:t>6</w:t>
            </w:r>
          </w:p>
        </w:tc>
        <w:tc>
          <w:tcPr>
            <w:tcW w:type="dxa" w:w="1973"/>
          </w:tcPr>
          <w:p>
            <w:r>
              <w:t>7</w:t>
            </w:r>
          </w:p>
        </w:tc>
        <w:tc>
          <w:tcPr>
            <w:tcW w:type="dxa" w:w="1973"/>
          </w:tcPr>
          <w:p>
            <w:r>
              <w:t>+1</w:t>
            </w:r>
          </w:p>
        </w:tc>
        <w:tc>
          <w:tcPr>
            <w:tcW w:type="dxa" w:w="1973"/>
          </w:tcPr>
          <w:p>
            <w:r>
              <w:t>Clôture 95% des actions</w:t>
            </w:r>
          </w:p>
        </w:tc>
      </w:tr>
      <w:tr>
        <w:tc>
          <w:tcPr>
            <w:tcW w:type="dxa" w:w="1973"/>
          </w:tcPr>
          <w:p>
            <w:r>
              <w:t>Écarts critiques (C1)</w:t>
            </w:r>
          </w:p>
        </w:tc>
        <w:tc>
          <w:tcPr>
            <w:tcW w:type="dxa" w:w="1973"/>
          </w:tcPr>
          <w:p>
            <w:r>
              <w:t>0</w:t>
            </w:r>
          </w:p>
        </w:tc>
        <w:tc>
          <w:tcPr>
            <w:tcW w:type="dxa" w:w="1973"/>
          </w:tcPr>
          <w:p>
            <w:r>
              <w:t>1</w:t>
            </w:r>
          </w:p>
        </w:tc>
        <w:tc>
          <w:tcPr>
            <w:tcW w:type="dxa" w:w="1973"/>
          </w:tcPr>
          <w:p>
            <w:r>
              <w:t>-1</w:t>
            </w:r>
          </w:p>
        </w:tc>
        <w:tc>
          <w:tcPr>
            <w:tcW w:type="dxa" w:w="1973"/>
          </w:tcPr>
          <w:p>
            <w:r>
              <w:t>Clôture 100% sous 30 jours</w:t>
            </w:r>
          </w:p>
        </w:tc>
      </w:tr>
      <w:tr>
        <w:tc>
          <w:tcPr>
            <w:tcW w:type="dxa" w:w="1973"/>
          </w:tcPr>
          <w:p>
            <w:r>
              <w:t>Taux de formation HSE</w:t>
            </w:r>
          </w:p>
        </w:tc>
        <w:tc>
          <w:tcPr>
            <w:tcW w:type="dxa" w:w="1973"/>
          </w:tcPr>
          <w:p>
            <w:r>
              <w:t>≥ 90%</w:t>
            </w:r>
          </w:p>
        </w:tc>
        <w:tc>
          <w:tcPr>
            <w:tcW w:type="dxa" w:w="1973"/>
          </w:tcPr>
          <w:p>
            <w:r>
              <w:t>93%</w:t>
            </w:r>
          </w:p>
        </w:tc>
        <w:tc>
          <w:tcPr>
            <w:tcW w:type="dxa" w:w="1973"/>
          </w:tcPr>
          <w:p>
            <w:r>
              <w:t>+3%</w:t>
            </w:r>
          </w:p>
        </w:tc>
        <w:tc>
          <w:tcPr>
            <w:tcW w:type="dxa" w:w="1973"/>
          </w:tcPr>
          <w:p>
            <w:r>
              <w:t>Objectif dépassé</w:t>
            </w:r>
          </w:p>
        </w:tc>
      </w:tr>
      <w:tr>
        <w:tc>
          <w:tcPr>
            <w:tcW w:type="dxa" w:w="1973"/>
          </w:tcPr>
          <w:p>
            <w:r>
              <w:t>Conformité EPI</w:t>
            </w:r>
          </w:p>
        </w:tc>
        <w:tc>
          <w:tcPr>
            <w:tcW w:type="dxa" w:w="1973"/>
          </w:tcPr>
          <w:p>
            <w:r>
              <w:t>100%</w:t>
            </w:r>
          </w:p>
        </w:tc>
        <w:tc>
          <w:tcPr>
            <w:tcW w:type="dxa" w:w="1973"/>
          </w:tcPr>
          <w:p>
            <w:r>
              <w:t>97%</w:t>
            </w:r>
          </w:p>
        </w:tc>
        <w:tc>
          <w:tcPr>
            <w:tcW w:type="dxa" w:w="1973"/>
          </w:tcPr>
          <w:p>
            <w:r>
              <w:t>-3%</w:t>
            </w:r>
          </w:p>
        </w:tc>
        <w:tc>
          <w:tcPr>
            <w:tcW w:type="dxa" w:w="1973"/>
          </w:tcPr>
          <w:p>
            <w:r>
              <w:t>Focus zone sertissage</w:t>
            </w:r>
          </w:p>
        </w:tc>
      </w:tr>
    </w:tbl>
    <w:p>
      <w:pPr>
        <w:spacing w:before="200" w:after="120"/>
      </w:pPr>
      <w:r>
        <w:rPr>
          <w:b/>
          <w:color w:val="008484"/>
          <w:sz w:val="36"/>
        </w:rPr>
        <w:t>3. Événements &amp; incidents</w:t>
      </w:r>
    </w:p>
    <w:p>
      <w:pPr>
        <w:spacing w:after="120"/>
      </w:pPr>
      <w:r>
        <w:t>Cinq événements structurent le retour d’expérience : un AT avec arrêt (entorse), un incident électrique, un presqu’accident palette, une situation dangereuse liée au rangement et une irritation cutanée. Les causes les plus fréquentes concernent les conditions de poste, l’empilage et le choix des EPI.</w:t>
      </w:r>
    </w:p>
    <w:tbl>
      <w:tblPr>
        <w:tblStyle w:val="MediumShading2-Accent1"/>
        <w:tblW w:type="auto" w:w="0"/>
        <w:tblLook w:firstColumn="1" w:firstRow="1" w:lastColumn="0" w:lastRow="0" w:noHBand="0" w:noVBand="1" w:val="04A0"/>
      </w:tblPr>
      <w:tblGrid>
        <w:gridCol w:w="1409"/>
        <w:gridCol w:w="1409"/>
        <w:gridCol w:w="1409"/>
        <w:gridCol w:w="1409"/>
        <w:gridCol w:w="1409"/>
        <w:gridCol w:w="1409"/>
        <w:gridCol w:w="1409"/>
      </w:tblGrid>
      <w:tr>
        <w:tc>
          <w:tcPr>
            <w:tcW w:type="dxa" w:w="1409"/>
          </w:tcPr>
          <w:p>
            <w:pPr>
              <w:jc w:val="center"/>
            </w:pPr>
            <w:r>
              <w:rPr>
                <w:b/>
              </w:rPr>
              <w:t>Date</w:t>
            </w:r>
          </w:p>
        </w:tc>
        <w:tc>
          <w:tcPr>
            <w:tcW w:type="dxa" w:w="1409"/>
          </w:tcPr>
          <w:p>
            <w:pPr>
              <w:jc w:val="center"/>
            </w:pPr>
            <w:r>
              <w:rPr>
                <w:b/>
              </w:rPr>
              <w:t>Type</w:t>
            </w:r>
          </w:p>
        </w:tc>
        <w:tc>
          <w:tcPr>
            <w:tcW w:type="dxa" w:w="1409"/>
          </w:tcPr>
          <w:p>
            <w:pPr>
              <w:jc w:val="center"/>
            </w:pPr>
            <w:r>
              <w:rPr>
                <w:b/>
              </w:rPr>
              <w:t>Gravité</w:t>
            </w:r>
          </w:p>
        </w:tc>
        <w:tc>
          <w:tcPr>
            <w:tcW w:type="dxa" w:w="1409"/>
          </w:tcPr>
          <w:p>
            <w:pPr>
              <w:jc w:val="center"/>
            </w:pPr>
            <w:r>
              <w:rPr>
                <w:b/>
              </w:rPr>
              <w:t>Description</w:t>
            </w:r>
          </w:p>
        </w:tc>
        <w:tc>
          <w:tcPr>
            <w:tcW w:type="dxa" w:w="1409"/>
          </w:tcPr>
          <w:p>
            <w:pPr>
              <w:jc w:val="center"/>
            </w:pPr>
            <w:r>
              <w:rPr>
                <w:b/>
              </w:rPr>
              <w:t>Causes</w:t>
            </w:r>
          </w:p>
        </w:tc>
        <w:tc>
          <w:tcPr>
            <w:tcW w:type="dxa" w:w="1409"/>
          </w:tcPr>
          <w:p>
            <w:pPr>
              <w:jc w:val="center"/>
            </w:pPr>
            <w:r>
              <w:rPr>
                <w:b/>
              </w:rPr>
              <w:t>Actions</w:t>
            </w:r>
          </w:p>
        </w:tc>
        <w:tc>
          <w:tcPr>
            <w:tcW w:type="dxa" w:w="1409"/>
          </w:tcPr>
          <w:p>
            <w:pPr>
              <w:jc w:val="center"/>
            </w:pPr>
            <w:r>
              <w:rPr>
                <w:b/>
              </w:rPr>
              <w:t>Statut</w:t>
            </w:r>
          </w:p>
        </w:tc>
      </w:tr>
      <w:tr>
        <w:tc>
          <w:tcPr>
            <w:tcW w:type="dxa" w:w="1409"/>
          </w:tcPr>
          <w:p>
            <w:r>
              <w:t>06/02/2025</w:t>
            </w:r>
          </w:p>
        </w:tc>
        <w:tc>
          <w:tcPr>
            <w:tcW w:type="dxa" w:w="1409"/>
          </w:tcPr>
          <w:p>
            <w:r>
              <w:t>AT avec arrêt</w:t>
            </w:r>
          </w:p>
        </w:tc>
        <w:tc>
          <w:tcPr>
            <w:tcW w:type="dxa" w:w="1409"/>
          </w:tcPr>
          <w:p>
            <w:r>
              <w:t>Modérée</w:t>
            </w:r>
          </w:p>
        </w:tc>
        <w:tc>
          <w:tcPr>
            <w:tcW w:type="dxa" w:w="1409"/>
          </w:tcPr>
          <w:p>
            <w:r>
              <w:t>Entorse au sertissage (Atelier A)</w:t>
            </w:r>
          </w:p>
        </w:tc>
        <w:tc>
          <w:tcPr>
            <w:tcW w:type="dxa" w:w="1409"/>
          </w:tcPr>
          <w:p>
            <w:r>
              <w:t>Sol glissant + précipitation</w:t>
            </w:r>
          </w:p>
        </w:tc>
        <w:tc>
          <w:tcPr>
            <w:tcW w:type="dxa" w:w="1409"/>
          </w:tcPr>
          <w:p>
            <w:r>
              <w:t>Revêtement antidérapant, 5S, briefing poste</w:t>
            </w:r>
          </w:p>
        </w:tc>
        <w:tc>
          <w:tcPr>
            <w:tcW w:type="dxa" w:w="1409"/>
          </w:tcPr>
          <w:p>
            <w:r>
              <w:t>Clôturé (14/02/2025)</w:t>
            </w:r>
          </w:p>
        </w:tc>
      </w:tr>
      <w:tr>
        <w:tc>
          <w:tcPr>
            <w:tcW w:type="dxa" w:w="1409"/>
          </w:tcPr>
          <w:p>
            <w:r>
              <w:t>22/05/2025</w:t>
            </w:r>
          </w:p>
        </w:tc>
        <w:tc>
          <w:tcPr>
            <w:tcW w:type="dxa" w:w="1409"/>
          </w:tcPr>
          <w:p>
            <w:r>
              <w:t>Incident électrique</w:t>
            </w:r>
          </w:p>
        </w:tc>
        <w:tc>
          <w:tcPr>
            <w:tcW w:type="dxa" w:w="1409"/>
          </w:tcPr>
          <w:p>
            <w:r>
              <w:t>Faible</w:t>
            </w:r>
          </w:p>
        </w:tc>
        <w:tc>
          <w:tcPr>
            <w:tcW w:type="dxa" w:w="1409"/>
          </w:tcPr>
          <w:p>
            <w:r>
              <w:t>Déclenchement QF-12 (Atelier B)</w:t>
            </w:r>
          </w:p>
        </w:tc>
        <w:tc>
          <w:tcPr>
            <w:tcW w:type="dxa" w:w="1409"/>
          </w:tcPr>
          <w:p>
            <w:r>
              <w:t>Câble endommagé</w:t>
            </w:r>
          </w:p>
        </w:tc>
        <w:tc>
          <w:tcPr>
            <w:tcW w:type="dxa" w:w="1409"/>
          </w:tcPr>
          <w:p>
            <w:r>
              <w:t>Remplacement câble, inspection parc</w:t>
            </w:r>
          </w:p>
        </w:tc>
        <w:tc>
          <w:tcPr>
            <w:tcW w:type="dxa" w:w="1409"/>
          </w:tcPr>
          <w:p>
            <w:r>
              <w:t>Clôturé</w:t>
            </w:r>
          </w:p>
        </w:tc>
      </w:tr>
      <w:tr>
        <w:tc>
          <w:tcPr>
            <w:tcW w:type="dxa" w:w="1409"/>
          </w:tcPr>
          <w:p>
            <w:r>
              <w:t>09/07/2025</w:t>
            </w:r>
          </w:p>
        </w:tc>
        <w:tc>
          <w:tcPr>
            <w:tcW w:type="dxa" w:w="1409"/>
          </w:tcPr>
          <w:p>
            <w:r>
              <w:t>Presqu’accident</w:t>
            </w:r>
          </w:p>
        </w:tc>
        <w:tc>
          <w:tcPr>
            <w:tcW w:type="dxa" w:w="1409"/>
          </w:tcPr>
          <w:p>
            <w:r>
              <w:t>Faible</w:t>
            </w:r>
          </w:p>
        </w:tc>
        <w:tc>
          <w:tcPr>
            <w:tcW w:type="dxa" w:w="1409"/>
          </w:tcPr>
          <w:p>
            <w:r>
              <w:t>Palette instable en expédition</w:t>
            </w:r>
          </w:p>
        </w:tc>
        <w:tc>
          <w:tcPr>
            <w:tcW w:type="dxa" w:w="1409"/>
          </w:tcPr>
          <w:p>
            <w:r>
              <w:t>Empilage non conforme</w:t>
            </w:r>
          </w:p>
        </w:tc>
        <w:tc>
          <w:tcPr>
            <w:tcW w:type="dxa" w:w="1409"/>
          </w:tcPr>
          <w:p>
            <w:r>
              <w:t>Balisage, formation caristes (CACES)</w:t>
            </w:r>
          </w:p>
        </w:tc>
        <w:tc>
          <w:tcPr>
            <w:tcW w:type="dxa" w:w="1409"/>
          </w:tcPr>
          <w:p>
            <w:r>
              <w:t>Clôturé</w:t>
            </w:r>
          </w:p>
        </w:tc>
      </w:tr>
      <w:tr>
        <w:tc>
          <w:tcPr>
            <w:tcW w:type="dxa" w:w="1409"/>
          </w:tcPr>
          <w:p>
            <w:r>
              <w:t>30/09/2025</w:t>
            </w:r>
          </w:p>
        </w:tc>
        <w:tc>
          <w:tcPr>
            <w:tcW w:type="dxa" w:w="1409"/>
          </w:tcPr>
          <w:p>
            <w:r>
              <w:t>Situation dangereuse</w:t>
            </w:r>
          </w:p>
        </w:tc>
        <w:tc>
          <w:tcPr>
            <w:tcW w:type="dxa" w:w="1409"/>
          </w:tcPr>
          <w:p>
            <w:r>
              <w:t>Faible</w:t>
            </w:r>
          </w:p>
        </w:tc>
        <w:tc>
          <w:tcPr>
            <w:tcW w:type="dxa" w:w="1409"/>
          </w:tcPr>
          <w:p>
            <w:r>
              <w:t>Extincteur masqué par cartons</w:t>
            </w:r>
          </w:p>
        </w:tc>
        <w:tc>
          <w:tcPr>
            <w:tcW w:type="dxa" w:w="1409"/>
          </w:tcPr>
          <w:p>
            <w:r>
              <w:t>Rangement inadapté</w:t>
            </w:r>
          </w:p>
        </w:tc>
        <w:tc>
          <w:tcPr>
            <w:tcW w:type="dxa" w:w="1409"/>
          </w:tcPr>
          <w:p>
            <w:r>
              <w:t>Marquage au sol, standard 5S</w:t>
            </w:r>
          </w:p>
        </w:tc>
        <w:tc>
          <w:tcPr>
            <w:tcW w:type="dxa" w:w="1409"/>
          </w:tcPr>
          <w:p>
            <w:r>
              <w:t>Clôturé</w:t>
            </w:r>
          </w:p>
        </w:tc>
      </w:tr>
      <w:tr>
        <w:tc>
          <w:tcPr>
            <w:tcW w:type="dxa" w:w="1409"/>
          </w:tcPr>
          <w:p>
            <w:r>
              <w:t>05/11/2025</w:t>
            </w:r>
          </w:p>
        </w:tc>
        <w:tc>
          <w:tcPr>
            <w:tcW w:type="dxa" w:w="1409"/>
          </w:tcPr>
          <w:p>
            <w:r>
              <w:t>Irritation cutanée</w:t>
            </w:r>
          </w:p>
        </w:tc>
        <w:tc>
          <w:tcPr>
            <w:tcW w:type="dxa" w:w="1409"/>
          </w:tcPr>
          <w:p>
            <w:r>
              <w:t>Modérée</w:t>
            </w:r>
          </w:p>
        </w:tc>
        <w:tc>
          <w:tcPr>
            <w:tcW w:type="dxa" w:w="1409"/>
          </w:tcPr>
          <w:p>
            <w:r>
              <w:t>Contact huile soluble (usinage)</w:t>
            </w:r>
          </w:p>
        </w:tc>
        <w:tc>
          <w:tcPr>
            <w:tcW w:type="dxa" w:w="1409"/>
          </w:tcPr>
          <w:p>
            <w:r>
              <w:t>EPI inadapté</w:t>
            </w:r>
          </w:p>
        </w:tc>
        <w:tc>
          <w:tcPr>
            <w:tcW w:type="dxa" w:w="1409"/>
          </w:tcPr>
          <w:p>
            <w:r>
              <w:t>Gants nitrile + FDS, briefing poste</w:t>
            </w:r>
          </w:p>
        </w:tc>
        <w:tc>
          <w:tcPr>
            <w:tcW w:type="dxa" w:w="1409"/>
          </w:tcPr>
          <w:p>
            <w:r>
              <w:t>En cours (20/11/2025)</w:t>
            </w:r>
          </w:p>
        </w:tc>
      </w:tr>
    </w:tbl>
    <w:p>
      <w:pPr>
        <w:spacing w:before="200" w:after="120"/>
      </w:pPr>
      <w:r>
        <w:rPr>
          <w:b/>
          <w:color w:val="008484"/>
          <w:sz w:val="36"/>
        </w:rPr>
        <w:t>4. Audits &amp; inspections</w:t>
      </w:r>
    </w:p>
    <w:p>
      <w:pPr>
        <w:spacing w:after="120"/>
      </w:pPr>
      <w:r>
        <w:t>Quatre audits majeurs et une vérification réglementaire. La consignation LOTO sur presse fait l’objet d’un plan d’action prioritaire, clôturé début septembre. Le stockage chimique reste un point de vigilance (66% de clôture).</w:t>
      </w:r>
    </w:p>
    <w:tbl>
      <w:tblPr>
        <w:tblStyle w:val="MediumShading1-Accent1"/>
        <w:tblW w:type="auto" w:w="0"/>
        <w:tblLook w:firstColumn="1" w:firstRow="1" w:lastColumn="0" w:lastRow="0" w:noHBand="0" w:noVBand="1" w:val="04A0"/>
      </w:tblPr>
      <w:tblGrid>
        <w:gridCol w:w="1409"/>
        <w:gridCol w:w="1409"/>
        <w:gridCol w:w="1409"/>
        <w:gridCol w:w="1409"/>
        <w:gridCol w:w="1409"/>
        <w:gridCol w:w="1409"/>
        <w:gridCol w:w="1409"/>
      </w:tblGrid>
      <w:tr>
        <w:tc>
          <w:tcPr>
            <w:tcW w:type="dxa" w:w="1409"/>
          </w:tcPr>
          <w:p>
            <w:pPr>
              <w:jc w:val="center"/>
            </w:pPr>
            <w:r>
              <w:rPr>
                <w:b/>
              </w:rPr>
              <w:t>Date</w:t>
            </w:r>
          </w:p>
        </w:tc>
        <w:tc>
          <w:tcPr>
            <w:tcW w:type="dxa" w:w="1409"/>
          </w:tcPr>
          <w:p>
            <w:pPr>
              <w:jc w:val="center"/>
            </w:pPr>
            <w:r>
              <w:rPr>
                <w:b/>
              </w:rPr>
              <w:t>Référence</w:t>
            </w:r>
          </w:p>
        </w:tc>
        <w:tc>
          <w:tcPr>
            <w:tcW w:type="dxa" w:w="1409"/>
          </w:tcPr>
          <w:p>
            <w:pPr>
              <w:jc w:val="center"/>
            </w:pPr>
            <w:r>
              <w:rPr>
                <w:b/>
              </w:rPr>
              <w:t>Portée</w:t>
            </w:r>
          </w:p>
        </w:tc>
        <w:tc>
          <w:tcPr>
            <w:tcW w:type="dxa" w:w="1409"/>
          </w:tcPr>
          <w:p>
            <w:pPr>
              <w:jc w:val="center"/>
            </w:pPr>
            <w:r>
              <w:rPr>
                <w:b/>
              </w:rPr>
              <w:t>Écarts</w:t>
            </w:r>
          </w:p>
        </w:tc>
        <w:tc>
          <w:tcPr>
            <w:tcW w:type="dxa" w:w="1409"/>
          </w:tcPr>
          <w:p>
            <w:pPr>
              <w:jc w:val="center"/>
            </w:pPr>
            <w:r>
              <w:rPr>
                <w:b/>
              </w:rPr>
              <w:t>Gravité</w:t>
            </w:r>
          </w:p>
        </w:tc>
        <w:tc>
          <w:tcPr>
            <w:tcW w:type="dxa" w:w="1409"/>
          </w:tcPr>
          <w:p>
            <w:pPr>
              <w:jc w:val="center"/>
            </w:pPr>
            <w:r>
              <w:rPr>
                <w:b/>
              </w:rPr>
              <w:t>Clôture</w:t>
            </w:r>
          </w:p>
        </w:tc>
        <w:tc>
          <w:tcPr>
            <w:tcW w:type="dxa" w:w="1409"/>
          </w:tcPr>
          <w:p>
            <w:pPr>
              <w:jc w:val="center"/>
            </w:pPr>
            <w:r>
              <w:rPr>
                <w:b/>
              </w:rPr>
              <w:t>Responsable</w:t>
            </w:r>
          </w:p>
        </w:tc>
      </w:tr>
      <w:tr>
        <w:tc>
          <w:tcPr>
            <w:tcW w:type="dxa" w:w="1409"/>
          </w:tcPr>
          <w:p>
            <w:r>
              <w:t>18/03/2025</w:t>
            </w:r>
          </w:p>
        </w:tc>
        <w:tc>
          <w:tcPr>
            <w:tcW w:type="dxa" w:w="1409"/>
          </w:tcPr>
          <w:p>
            <w:r>
              <w:t>INT-5S-01</w:t>
            </w:r>
          </w:p>
        </w:tc>
        <w:tc>
          <w:tcPr>
            <w:tcW w:type="dxa" w:w="1409"/>
          </w:tcPr>
          <w:p>
            <w:r>
              <w:t>Atelier A – 5S</w:t>
            </w:r>
          </w:p>
        </w:tc>
        <w:tc>
          <w:tcPr>
            <w:tcW w:type="dxa" w:w="1409"/>
          </w:tcPr>
          <w:p>
            <w:r>
              <w:t>7</w:t>
            </w:r>
          </w:p>
        </w:tc>
        <w:tc>
          <w:tcPr>
            <w:tcW w:type="dxa" w:w="1409"/>
          </w:tcPr>
          <w:p>
            <w:r>
              <w:t>Faible</w:t>
            </w:r>
          </w:p>
        </w:tc>
        <w:tc>
          <w:tcPr>
            <w:tcW w:type="dxa" w:w="1409"/>
          </w:tcPr>
          <w:p>
            <w:r>
              <w:t>100% (12/04)</w:t>
            </w:r>
          </w:p>
        </w:tc>
        <w:tc>
          <w:tcPr>
            <w:tcW w:type="dxa" w:w="1409"/>
          </w:tcPr>
          <w:p>
            <w:r>
              <w:t>Production</w:t>
            </w:r>
          </w:p>
        </w:tc>
      </w:tr>
      <w:tr>
        <w:tc>
          <w:tcPr>
            <w:tcW w:type="dxa" w:w="1409"/>
          </w:tcPr>
          <w:p>
            <w:r>
              <w:t>25/06/2025</w:t>
            </w:r>
          </w:p>
        </w:tc>
        <w:tc>
          <w:tcPr>
            <w:tcW w:type="dxa" w:w="1409"/>
          </w:tcPr>
          <w:p>
            <w:r>
              <w:t>EXT-INC-02</w:t>
            </w:r>
          </w:p>
        </w:tc>
        <w:tc>
          <w:tcPr>
            <w:tcW w:type="dxa" w:w="1409"/>
          </w:tcPr>
          <w:p>
            <w:r>
              <w:t>Extincteurs et RIA</w:t>
            </w:r>
          </w:p>
        </w:tc>
        <w:tc>
          <w:tcPr>
            <w:tcW w:type="dxa" w:w="1409"/>
          </w:tcPr>
          <w:p>
            <w:r>
              <w:t>2</w:t>
            </w:r>
          </w:p>
        </w:tc>
        <w:tc>
          <w:tcPr>
            <w:tcW w:type="dxa" w:w="1409"/>
          </w:tcPr>
          <w:p>
            <w:r>
              <w:t>Modérée</w:t>
            </w:r>
          </w:p>
        </w:tc>
        <w:tc>
          <w:tcPr>
            <w:tcW w:type="dxa" w:w="1409"/>
          </w:tcPr>
          <w:p>
            <w:r>
              <w:t>100% (01/07)</w:t>
            </w:r>
          </w:p>
        </w:tc>
        <w:tc>
          <w:tcPr>
            <w:tcW w:type="dxa" w:w="1409"/>
          </w:tcPr>
          <w:p>
            <w:r>
              <w:t>QHSE</w:t>
            </w:r>
          </w:p>
        </w:tc>
      </w:tr>
      <w:tr>
        <w:tc>
          <w:tcPr>
            <w:tcW w:type="dxa" w:w="1409"/>
          </w:tcPr>
          <w:p>
            <w:r>
              <w:t>28/08/2025</w:t>
            </w:r>
          </w:p>
        </w:tc>
        <w:tc>
          <w:tcPr>
            <w:tcW w:type="dxa" w:w="1409"/>
          </w:tcPr>
          <w:p>
            <w:r>
              <w:t>INT-LOTO-03</w:t>
            </w:r>
          </w:p>
        </w:tc>
        <w:tc>
          <w:tcPr>
            <w:tcW w:type="dxa" w:w="1409"/>
          </w:tcPr>
          <w:p>
            <w:r>
              <w:t>Consignation presse</w:t>
            </w:r>
          </w:p>
        </w:tc>
        <w:tc>
          <w:tcPr>
            <w:tcW w:type="dxa" w:w="1409"/>
          </w:tcPr>
          <w:p>
            <w:r>
              <w:t>1</w:t>
            </w:r>
          </w:p>
        </w:tc>
        <w:tc>
          <w:tcPr>
            <w:tcW w:type="dxa" w:w="1409"/>
          </w:tcPr>
          <w:p>
            <w:r>
              <w:t>Majeure</w:t>
            </w:r>
          </w:p>
        </w:tc>
        <w:tc>
          <w:tcPr>
            <w:tcW w:type="dxa" w:w="1409"/>
          </w:tcPr>
          <w:p>
            <w:r>
              <w:t>100% (06/09)</w:t>
            </w:r>
          </w:p>
        </w:tc>
        <w:tc>
          <w:tcPr>
            <w:tcW w:type="dxa" w:w="1409"/>
          </w:tcPr>
          <w:p>
            <w:r>
              <w:t>Maintenance</w:t>
            </w:r>
          </w:p>
        </w:tc>
      </w:tr>
      <w:tr>
        <w:tc>
          <w:tcPr>
            <w:tcW w:type="dxa" w:w="1409"/>
          </w:tcPr>
          <w:p>
            <w:r>
              <w:t>31/10/2025</w:t>
            </w:r>
          </w:p>
        </w:tc>
        <w:tc>
          <w:tcPr>
            <w:tcW w:type="dxa" w:w="1409"/>
          </w:tcPr>
          <w:p>
            <w:r>
              <w:t>REG-CHIM-04</w:t>
            </w:r>
          </w:p>
        </w:tc>
        <w:tc>
          <w:tcPr>
            <w:tcW w:type="dxa" w:w="1409"/>
          </w:tcPr>
          <w:p>
            <w:r>
              <w:t>Stockage produits chimiques</w:t>
            </w:r>
          </w:p>
        </w:tc>
        <w:tc>
          <w:tcPr>
            <w:tcW w:type="dxa" w:w="1409"/>
          </w:tcPr>
          <w:p>
            <w:r>
              <w:t>3</w:t>
            </w:r>
          </w:p>
        </w:tc>
        <w:tc>
          <w:tcPr>
            <w:tcW w:type="dxa" w:w="1409"/>
          </w:tcPr>
          <w:p>
            <w:r>
              <w:t>Modérée</w:t>
            </w:r>
          </w:p>
        </w:tc>
        <w:tc>
          <w:tcPr>
            <w:tcW w:type="dxa" w:w="1409"/>
          </w:tcPr>
          <w:p>
            <w:r>
              <w:t>66%</w:t>
            </w:r>
          </w:p>
        </w:tc>
        <w:tc>
          <w:tcPr>
            <w:tcW w:type="dxa" w:w="1409"/>
          </w:tcPr>
          <w:p>
            <w:r>
              <w:t>Magasin</w:t>
            </w:r>
          </w:p>
        </w:tc>
      </w:tr>
      <w:tr>
        <w:tc>
          <w:tcPr>
            <w:tcW w:type="dxa" w:w="1409"/>
          </w:tcPr>
          <w:p>
            <w:r>
              <w:t>10/12/2025</w:t>
            </w:r>
          </w:p>
        </w:tc>
        <w:tc>
          <w:tcPr>
            <w:tcW w:type="dxa" w:w="1409"/>
          </w:tcPr>
          <w:p>
            <w:r>
              <w:t>EXT-ISO14-PRE</w:t>
            </w:r>
          </w:p>
        </w:tc>
        <w:tc>
          <w:tcPr>
            <w:tcW w:type="dxa" w:w="1409"/>
          </w:tcPr>
          <w:p>
            <w:r>
              <w:t>Pré-audit ISO 14001</w:t>
            </w:r>
          </w:p>
        </w:tc>
        <w:tc>
          <w:tcPr>
            <w:tcW w:type="dxa" w:w="1409"/>
          </w:tcPr>
          <w:p>
            <w:r>
              <w:t>-</w:t>
            </w:r>
          </w:p>
        </w:tc>
        <w:tc>
          <w:tcPr>
            <w:tcW w:type="dxa" w:w="1409"/>
          </w:tcPr>
          <w:p>
            <w:r>
              <w:t>-</w:t>
            </w:r>
          </w:p>
        </w:tc>
        <w:tc>
          <w:tcPr>
            <w:tcW w:type="dxa" w:w="1409"/>
          </w:tcPr>
          <w:p>
            <w:r>
              <w:t>-</w:t>
            </w:r>
          </w:p>
        </w:tc>
        <w:tc>
          <w:tcPr>
            <w:tcW w:type="dxa" w:w="1409"/>
          </w:tcPr>
          <w:p>
            <w:r>
              <w:t>QHSE</w:t>
            </w:r>
          </w:p>
        </w:tc>
      </w:tr>
    </w:tbl>
    <w:p>
      <w:pPr>
        <w:spacing w:before="200" w:after="120"/>
      </w:pPr>
      <w:r>
        <w:rPr>
          <w:b/>
          <w:color w:val="008484"/>
          <w:sz w:val="36"/>
        </w:rPr>
        <w:t>5. Formation &amp; sensibilisation</w:t>
      </w:r>
    </w:p>
    <w:p>
      <w:pPr>
        <w:spacing w:after="120"/>
      </w:pPr>
      <w:r>
        <w:t>Formations obligatoires et ciblées : accueil sécurité, gestes &amp; postures, LOTO, conduite de chariots (CACES R489), risques chimiques, exercices incendie. Les causeries hebdomadaires entretiennent les réflexes collectifs.</w:t>
      </w:r>
    </w:p>
    <w:tbl>
      <w:tblPr>
        <w:tblStyle w:val="LightList-Accent1"/>
        <w:tblW w:type="auto" w:w="0"/>
        <w:tblLook w:firstColumn="1" w:firstRow="1" w:lastColumn="0" w:lastRow="0" w:noHBand="0" w:noVBand="1" w:val="04A0"/>
      </w:tblPr>
      <w:tblGrid>
        <w:gridCol w:w="1644"/>
        <w:gridCol w:w="1644"/>
        <w:gridCol w:w="1644"/>
        <w:gridCol w:w="1644"/>
        <w:gridCol w:w="1644"/>
        <w:gridCol w:w="1644"/>
      </w:tblGrid>
      <w:tr>
        <w:tc>
          <w:tcPr>
            <w:tcW w:type="dxa" w:w="1644"/>
          </w:tcPr>
          <w:p>
            <w:pPr>
              <w:jc w:val="center"/>
            </w:pPr>
            <w:r>
              <w:rPr>
                <w:b/>
              </w:rPr>
              <w:t>Action/Module</w:t>
            </w:r>
          </w:p>
        </w:tc>
        <w:tc>
          <w:tcPr>
            <w:tcW w:type="dxa" w:w="1644"/>
          </w:tcPr>
          <w:p>
            <w:pPr>
              <w:jc w:val="center"/>
            </w:pPr>
            <w:r>
              <w:rPr>
                <w:b/>
              </w:rPr>
              <w:t>Public</w:t>
            </w:r>
          </w:p>
        </w:tc>
        <w:tc>
          <w:tcPr>
            <w:tcW w:type="dxa" w:w="1644"/>
          </w:tcPr>
          <w:p>
            <w:pPr>
              <w:jc w:val="center"/>
            </w:pPr>
            <w:r>
              <w:rPr>
                <w:b/>
              </w:rPr>
              <w:t>Volume (h)</w:t>
            </w:r>
          </w:p>
        </w:tc>
        <w:tc>
          <w:tcPr>
            <w:tcW w:type="dxa" w:w="1644"/>
          </w:tcPr>
          <w:p>
            <w:pPr>
              <w:jc w:val="center"/>
            </w:pPr>
            <w:r>
              <w:rPr>
                <w:b/>
              </w:rPr>
              <w:t>Taux de réalisation</w:t>
            </w:r>
          </w:p>
        </w:tc>
        <w:tc>
          <w:tcPr>
            <w:tcW w:type="dxa" w:w="1644"/>
          </w:tcPr>
          <w:p>
            <w:pPr>
              <w:jc w:val="center"/>
            </w:pPr>
            <w:r>
              <w:rPr>
                <w:b/>
              </w:rPr>
              <w:t>Échéance</w:t>
            </w:r>
          </w:p>
        </w:tc>
        <w:tc>
          <w:tcPr>
            <w:tcW w:type="dxa" w:w="1644"/>
          </w:tcPr>
          <w:p>
            <w:pPr>
              <w:jc w:val="center"/>
            </w:pPr>
            <w:r>
              <w:rPr>
                <w:b/>
              </w:rPr>
              <w:t>Support/Preuve</w:t>
            </w:r>
          </w:p>
        </w:tc>
      </w:tr>
      <w:tr>
        <w:tc>
          <w:tcPr>
            <w:tcW w:type="dxa" w:w="1644"/>
          </w:tcPr>
          <w:p>
            <w:r>
              <w:t>Accueil sécurité</w:t>
            </w:r>
          </w:p>
        </w:tc>
        <w:tc>
          <w:tcPr>
            <w:tcW w:type="dxa" w:w="1644"/>
          </w:tcPr>
          <w:p>
            <w:r>
              <w:t>Nouveaux embauchés</w:t>
            </w:r>
          </w:p>
        </w:tc>
        <w:tc>
          <w:tcPr>
            <w:tcW w:type="dxa" w:w="1644"/>
          </w:tcPr>
          <w:p>
            <w:r>
              <w:t>48</w:t>
            </w:r>
          </w:p>
        </w:tc>
        <w:tc>
          <w:tcPr>
            <w:tcW w:type="dxa" w:w="1644"/>
          </w:tcPr>
          <w:p>
            <w:r>
              <w:t>100%</w:t>
            </w:r>
          </w:p>
        </w:tc>
        <w:tc>
          <w:tcPr>
            <w:tcW w:type="dxa" w:w="1644"/>
          </w:tcPr>
          <w:p>
            <w:r>
              <w:t>Continu</w:t>
            </w:r>
          </w:p>
        </w:tc>
        <w:tc>
          <w:tcPr>
            <w:tcW w:type="dxa" w:w="1644"/>
          </w:tcPr>
          <w:p>
            <w:r>
              <w:t>Feuilles d’émargement</w:t>
            </w:r>
          </w:p>
        </w:tc>
      </w:tr>
      <w:tr>
        <w:tc>
          <w:tcPr>
            <w:tcW w:type="dxa" w:w="1644"/>
          </w:tcPr>
          <w:p>
            <w:r>
              <w:t>Gestes &amp; postures</w:t>
            </w:r>
          </w:p>
        </w:tc>
        <w:tc>
          <w:tcPr>
            <w:tcW w:type="dxa" w:w="1644"/>
          </w:tcPr>
          <w:p>
            <w:r>
              <w:t>Opérateurs</w:t>
            </w:r>
          </w:p>
        </w:tc>
        <w:tc>
          <w:tcPr>
            <w:tcW w:type="dxa" w:w="1644"/>
          </w:tcPr>
          <w:p>
            <w:r>
              <w:t>72</w:t>
            </w:r>
          </w:p>
        </w:tc>
        <w:tc>
          <w:tcPr>
            <w:tcW w:type="dxa" w:w="1644"/>
          </w:tcPr>
          <w:p>
            <w:r>
              <w:t>89%</w:t>
            </w:r>
          </w:p>
        </w:tc>
        <w:tc>
          <w:tcPr>
            <w:tcW w:type="dxa" w:w="1644"/>
          </w:tcPr>
          <w:p>
            <w:r>
              <w:t>30/06/2025</w:t>
            </w:r>
          </w:p>
        </w:tc>
        <w:tc>
          <w:tcPr>
            <w:tcW w:type="dxa" w:w="1644"/>
          </w:tcPr>
          <w:p>
            <w:r>
              <w:t>Attestations</w:t>
            </w:r>
          </w:p>
        </w:tc>
      </w:tr>
      <w:tr>
        <w:tc>
          <w:tcPr>
            <w:tcW w:type="dxa" w:w="1644"/>
          </w:tcPr>
          <w:p>
            <w:r>
              <w:t>LOTO</w:t>
            </w:r>
          </w:p>
        </w:tc>
        <w:tc>
          <w:tcPr>
            <w:tcW w:type="dxa" w:w="1644"/>
          </w:tcPr>
          <w:p>
            <w:r>
              <w:t>Maintenance</w:t>
            </w:r>
          </w:p>
        </w:tc>
        <w:tc>
          <w:tcPr>
            <w:tcW w:type="dxa" w:w="1644"/>
          </w:tcPr>
          <w:p>
            <w:r>
              <w:t>26</w:t>
            </w:r>
          </w:p>
        </w:tc>
        <w:tc>
          <w:tcPr>
            <w:tcW w:type="dxa" w:w="1644"/>
          </w:tcPr>
          <w:p>
            <w:r>
              <w:t>91%</w:t>
            </w:r>
          </w:p>
        </w:tc>
        <w:tc>
          <w:tcPr>
            <w:tcW w:type="dxa" w:w="1644"/>
          </w:tcPr>
          <w:p>
            <w:r>
              <w:t>15/09/2025</w:t>
            </w:r>
          </w:p>
        </w:tc>
        <w:tc>
          <w:tcPr>
            <w:tcW w:type="dxa" w:w="1644"/>
          </w:tcPr>
          <w:p>
            <w:r>
              <w:t>Fiches de consignation</w:t>
            </w:r>
          </w:p>
        </w:tc>
      </w:tr>
      <w:tr>
        <w:tc>
          <w:tcPr>
            <w:tcW w:type="dxa" w:w="1644"/>
          </w:tcPr>
          <w:p>
            <w:r>
              <w:t>Conduite chariots (CACES R489)</w:t>
            </w:r>
          </w:p>
        </w:tc>
        <w:tc>
          <w:tcPr>
            <w:tcW w:type="dxa" w:w="1644"/>
          </w:tcPr>
          <w:p>
            <w:r>
              <w:t>Caristes</w:t>
            </w:r>
          </w:p>
        </w:tc>
        <w:tc>
          <w:tcPr>
            <w:tcW w:type="dxa" w:w="1644"/>
          </w:tcPr>
          <w:p>
            <w:r>
              <w:t>84</w:t>
            </w:r>
          </w:p>
        </w:tc>
        <w:tc>
          <w:tcPr>
            <w:tcW w:type="dxa" w:w="1644"/>
          </w:tcPr>
          <w:p>
            <w:r>
              <w:t>96%</w:t>
            </w:r>
          </w:p>
        </w:tc>
        <w:tc>
          <w:tcPr>
            <w:tcW w:type="dxa" w:w="1644"/>
          </w:tcPr>
          <w:p>
            <w:r>
              <w:t>31/10/2025</w:t>
            </w:r>
          </w:p>
        </w:tc>
        <w:tc>
          <w:tcPr>
            <w:tcW w:type="dxa" w:w="1644"/>
          </w:tcPr>
          <w:p>
            <w:r>
              <w:t>CACES à jour</w:t>
            </w:r>
          </w:p>
        </w:tc>
      </w:tr>
      <w:tr>
        <w:tc>
          <w:tcPr>
            <w:tcW w:type="dxa" w:w="1644"/>
          </w:tcPr>
          <w:p>
            <w:r>
              <w:t>Risque chimique</w:t>
            </w:r>
          </w:p>
        </w:tc>
        <w:tc>
          <w:tcPr>
            <w:tcW w:type="dxa" w:w="1644"/>
          </w:tcPr>
          <w:p>
            <w:r>
              <w:t>Lab &amp; nettoyage</w:t>
            </w:r>
          </w:p>
        </w:tc>
        <w:tc>
          <w:tcPr>
            <w:tcW w:type="dxa" w:w="1644"/>
          </w:tcPr>
          <w:p>
            <w:r>
              <w:t>22</w:t>
            </w:r>
          </w:p>
        </w:tc>
        <w:tc>
          <w:tcPr>
            <w:tcW w:type="dxa" w:w="1644"/>
          </w:tcPr>
          <w:p>
            <w:r>
              <w:t>78%</w:t>
            </w:r>
          </w:p>
        </w:tc>
        <w:tc>
          <w:tcPr>
            <w:tcW w:type="dxa" w:w="1644"/>
          </w:tcPr>
          <w:p>
            <w:r>
              <w:t>30/11/2025</w:t>
            </w:r>
          </w:p>
        </w:tc>
        <w:tc>
          <w:tcPr>
            <w:tcW w:type="dxa" w:w="1644"/>
          </w:tcPr>
          <w:p>
            <w:r>
              <w:t>QCM &amp; émargement</w:t>
            </w:r>
          </w:p>
        </w:tc>
      </w:tr>
      <w:tr>
        <w:tc>
          <w:tcPr>
            <w:tcW w:type="dxa" w:w="1644"/>
          </w:tcPr>
          <w:p>
            <w:r>
              <w:t>Évacuation &amp; incendie</w:t>
            </w:r>
          </w:p>
        </w:tc>
        <w:tc>
          <w:tcPr>
            <w:tcW w:type="dxa" w:w="1644"/>
          </w:tcPr>
          <w:p>
            <w:r>
              <w:t>Tout personnel</w:t>
            </w:r>
          </w:p>
        </w:tc>
        <w:tc>
          <w:tcPr>
            <w:tcW w:type="dxa" w:w="1644"/>
          </w:tcPr>
          <w:p>
            <w:r>
              <w:t>9</w:t>
            </w:r>
          </w:p>
        </w:tc>
        <w:tc>
          <w:tcPr>
            <w:tcW w:type="dxa" w:w="1644"/>
          </w:tcPr>
          <w:p>
            <w:r>
              <w:t>100%</w:t>
            </w:r>
          </w:p>
        </w:tc>
        <w:tc>
          <w:tcPr>
            <w:tcW w:type="dxa" w:w="1644"/>
          </w:tcPr>
          <w:p>
            <w:r>
              <w:t>12/11/2025</w:t>
            </w:r>
          </w:p>
        </w:tc>
        <w:tc>
          <w:tcPr>
            <w:tcW w:type="dxa" w:w="1644"/>
          </w:tcPr>
          <w:p>
            <w:r>
              <w:t>PV d’exercice</w:t>
            </w:r>
          </w:p>
        </w:tc>
      </w:tr>
      <w:tr>
        <w:tc>
          <w:tcPr>
            <w:tcW w:type="dxa" w:w="1644"/>
          </w:tcPr>
          <w:p>
            <w:r>
              <w:t>Causeries sécurité (15’/sem.)</w:t>
            </w:r>
          </w:p>
        </w:tc>
        <w:tc>
          <w:tcPr>
            <w:tcW w:type="dxa" w:w="1644"/>
          </w:tcPr>
          <w:p>
            <w:r>
              <w:t>Tous</w:t>
            </w:r>
          </w:p>
        </w:tc>
        <w:tc>
          <w:tcPr>
            <w:tcW w:type="dxa" w:w="1644"/>
          </w:tcPr>
          <w:p>
            <w:r>
              <w:t>44</w:t>
            </w:r>
          </w:p>
        </w:tc>
        <w:tc>
          <w:tcPr>
            <w:tcW w:type="dxa" w:w="1644"/>
          </w:tcPr>
          <w:p>
            <w:r>
              <w:t>86%</w:t>
            </w:r>
          </w:p>
        </w:tc>
        <w:tc>
          <w:tcPr>
            <w:tcW w:type="dxa" w:w="1644"/>
          </w:tcPr>
          <w:p>
            <w:r>
              <w:t>Hebdomadaire</w:t>
            </w:r>
          </w:p>
        </w:tc>
        <w:tc>
          <w:tcPr>
            <w:tcW w:type="dxa" w:w="1644"/>
          </w:tcPr>
          <w:p>
            <w:r>
              <w:t>Registres</w:t>
            </w:r>
          </w:p>
        </w:tc>
      </w:tr>
    </w:tbl>
    <w:p>
      <w:pPr>
        <w:spacing w:before="200" w:after="120"/>
      </w:pPr>
      <w:r>
        <w:rPr>
          <w:b/>
          <w:color w:val="008484"/>
          <w:sz w:val="36"/>
        </w:rPr>
        <w:t>6. Équipements &amp; EPI</w:t>
      </w:r>
    </w:p>
    <w:p>
      <w:pPr>
        <w:spacing w:after="120"/>
      </w:pPr>
      <w:r>
        <w:t>Conformité solide (≥95%) et attention particulière sur l’adéquation des gants en sertissage et la disponibilité des crèmes barrière.</w:t>
      </w:r>
    </w:p>
    <w:tbl>
      <w:tblPr>
        <w:tblStyle w:val="MediumShading1-Accent1"/>
        <w:tblW w:type="auto" w:w="0"/>
        <w:tblLook w:firstColumn="1" w:firstRow="1" w:lastColumn="0" w:lastRow="0" w:noHBand="0" w:noVBand="1" w:val="04A0"/>
      </w:tblPr>
      <w:tblGrid>
        <w:gridCol w:w="1644"/>
        <w:gridCol w:w="1644"/>
        <w:gridCol w:w="1644"/>
        <w:gridCol w:w="1644"/>
        <w:gridCol w:w="1644"/>
        <w:gridCol w:w="1644"/>
      </w:tblGrid>
      <w:tr>
        <w:tc>
          <w:tcPr>
            <w:tcW w:type="dxa" w:w="1644"/>
          </w:tcPr>
          <w:p>
            <w:pPr>
              <w:jc w:val="center"/>
            </w:pPr>
            <w:r>
              <w:rPr>
                <w:b/>
              </w:rPr>
              <w:t>Famille EPI</w:t>
            </w:r>
          </w:p>
        </w:tc>
        <w:tc>
          <w:tcPr>
            <w:tcW w:type="dxa" w:w="1644"/>
          </w:tcPr>
          <w:p>
            <w:pPr>
              <w:jc w:val="center"/>
            </w:pPr>
            <w:r>
              <w:rPr>
                <w:b/>
              </w:rPr>
              <w:t>Conformité</w:t>
            </w:r>
          </w:p>
        </w:tc>
        <w:tc>
          <w:tcPr>
            <w:tcW w:type="dxa" w:w="1644"/>
          </w:tcPr>
          <w:p>
            <w:pPr>
              <w:jc w:val="center"/>
            </w:pPr>
            <w:r>
              <w:rPr>
                <w:b/>
              </w:rPr>
              <w:t>Taux d’assignation</w:t>
            </w:r>
          </w:p>
        </w:tc>
        <w:tc>
          <w:tcPr>
            <w:tcW w:type="dxa" w:w="1644"/>
          </w:tcPr>
          <w:p>
            <w:pPr>
              <w:jc w:val="center"/>
            </w:pPr>
            <w:r>
              <w:rPr>
                <w:b/>
              </w:rPr>
              <w:t>Contrôle périodique</w:t>
            </w:r>
          </w:p>
        </w:tc>
        <w:tc>
          <w:tcPr>
            <w:tcW w:type="dxa" w:w="1644"/>
          </w:tcPr>
          <w:p>
            <w:pPr>
              <w:jc w:val="center"/>
            </w:pPr>
            <w:r>
              <w:rPr>
                <w:b/>
              </w:rPr>
              <w:t>Écarts</w:t>
            </w:r>
          </w:p>
        </w:tc>
        <w:tc>
          <w:tcPr>
            <w:tcW w:type="dxa" w:w="1644"/>
          </w:tcPr>
          <w:p>
            <w:pPr>
              <w:jc w:val="center"/>
            </w:pPr>
            <w:r>
              <w:rPr>
                <w:b/>
              </w:rPr>
              <w:t>Actions</w:t>
            </w:r>
          </w:p>
        </w:tc>
      </w:tr>
      <w:tr>
        <w:tc>
          <w:tcPr>
            <w:tcW w:type="dxa" w:w="1644"/>
          </w:tcPr>
          <w:p>
            <w:r>
              <w:t>Lunettes de protection</w:t>
            </w:r>
          </w:p>
        </w:tc>
        <w:tc>
          <w:tcPr>
            <w:tcW w:type="dxa" w:w="1644"/>
          </w:tcPr>
          <w:p>
            <w:r>
              <w:t>99%</w:t>
            </w:r>
          </w:p>
        </w:tc>
        <w:tc>
          <w:tcPr>
            <w:tcW w:type="dxa" w:w="1644"/>
          </w:tcPr>
          <w:p>
            <w:r>
              <w:t>100%</w:t>
            </w:r>
          </w:p>
        </w:tc>
        <w:tc>
          <w:tcPr>
            <w:tcW w:type="dxa" w:w="1644"/>
          </w:tcPr>
          <w:p>
            <w:r>
              <w:t>Mensuel</w:t>
            </w:r>
          </w:p>
        </w:tc>
        <w:tc>
          <w:tcPr>
            <w:tcW w:type="dxa" w:w="1644"/>
          </w:tcPr>
          <w:p>
            <w:r>
              <w:t>0</w:t>
            </w:r>
          </w:p>
        </w:tc>
        <w:tc>
          <w:tcPr>
            <w:tcW w:type="dxa" w:w="1644"/>
          </w:tcPr>
          <w:p>
            <w:r>
              <w:t>Maintien du stock</w:t>
            </w:r>
          </w:p>
        </w:tc>
      </w:tr>
      <w:tr>
        <w:tc>
          <w:tcPr>
            <w:tcW w:type="dxa" w:w="1644"/>
          </w:tcPr>
          <w:p>
            <w:r>
              <w:t>Gants anti-coupure (niv. C)</w:t>
            </w:r>
          </w:p>
        </w:tc>
        <w:tc>
          <w:tcPr>
            <w:tcW w:type="dxa" w:w="1644"/>
          </w:tcPr>
          <w:p>
            <w:r>
              <w:t>92%</w:t>
            </w:r>
          </w:p>
        </w:tc>
        <w:tc>
          <w:tcPr>
            <w:tcW w:type="dxa" w:w="1644"/>
          </w:tcPr>
          <w:p>
            <w:r>
              <w:t>98%</w:t>
            </w:r>
          </w:p>
        </w:tc>
        <w:tc>
          <w:tcPr>
            <w:tcW w:type="dxa" w:w="1644"/>
          </w:tcPr>
          <w:p>
            <w:r>
              <w:t>Hebdomadaire</w:t>
            </w:r>
          </w:p>
        </w:tc>
        <w:tc>
          <w:tcPr>
            <w:tcW w:type="dxa" w:w="1644"/>
          </w:tcPr>
          <w:p>
            <w:r>
              <w:t>Usure rapide en sertissage</w:t>
            </w:r>
          </w:p>
        </w:tc>
        <w:tc>
          <w:tcPr>
            <w:tcW w:type="dxa" w:w="1644"/>
          </w:tcPr>
          <w:p>
            <w:r>
              <w:t>Passage niv. D zone A</w:t>
            </w:r>
          </w:p>
        </w:tc>
      </w:tr>
      <w:tr>
        <w:tc>
          <w:tcPr>
            <w:tcW w:type="dxa" w:w="1644"/>
          </w:tcPr>
          <w:p>
            <w:r>
              <w:t>Chaussures S3</w:t>
            </w:r>
          </w:p>
        </w:tc>
        <w:tc>
          <w:tcPr>
            <w:tcW w:type="dxa" w:w="1644"/>
          </w:tcPr>
          <w:p>
            <w:r>
              <w:t>100%</w:t>
            </w:r>
          </w:p>
        </w:tc>
        <w:tc>
          <w:tcPr>
            <w:tcW w:type="dxa" w:w="1644"/>
          </w:tcPr>
          <w:p>
            <w:r>
              <w:t>100%</w:t>
            </w:r>
          </w:p>
        </w:tc>
        <w:tc>
          <w:tcPr>
            <w:tcW w:type="dxa" w:w="1644"/>
          </w:tcPr>
          <w:p>
            <w:r>
              <w:t>Trimestriel</w:t>
            </w:r>
          </w:p>
        </w:tc>
        <w:tc>
          <w:tcPr>
            <w:tcW w:type="dxa" w:w="1644"/>
          </w:tcPr>
          <w:p>
            <w:r>
              <w:t>0</w:t>
            </w:r>
          </w:p>
        </w:tc>
        <w:tc>
          <w:tcPr>
            <w:tcW w:type="dxa" w:w="1644"/>
          </w:tcPr>
          <w:p>
            <w:r>
              <w:t>RAS</w:t>
            </w:r>
          </w:p>
        </w:tc>
      </w:tr>
      <w:tr>
        <w:tc>
          <w:tcPr>
            <w:tcW w:type="dxa" w:w="1644"/>
          </w:tcPr>
          <w:p>
            <w:r>
              <w:t>Bouchons anti-bruit</w:t>
            </w:r>
          </w:p>
        </w:tc>
        <w:tc>
          <w:tcPr>
            <w:tcW w:type="dxa" w:w="1644"/>
          </w:tcPr>
          <w:p>
            <w:r>
              <w:t>95%</w:t>
            </w:r>
          </w:p>
        </w:tc>
        <w:tc>
          <w:tcPr>
            <w:tcW w:type="dxa" w:w="1644"/>
          </w:tcPr>
          <w:p>
            <w:r>
              <w:t>96%</w:t>
            </w:r>
          </w:p>
        </w:tc>
        <w:tc>
          <w:tcPr>
            <w:tcW w:type="dxa" w:w="1644"/>
          </w:tcPr>
          <w:p>
            <w:r>
              <w:t>Mensuel</w:t>
            </w:r>
          </w:p>
        </w:tc>
        <w:tc>
          <w:tcPr>
            <w:tcW w:type="dxa" w:w="1644"/>
          </w:tcPr>
          <w:p>
            <w:r>
              <w:t>Port irrégulier</w:t>
            </w:r>
          </w:p>
        </w:tc>
        <w:tc>
          <w:tcPr>
            <w:tcW w:type="dxa" w:w="1644"/>
          </w:tcPr>
          <w:p>
            <w:r>
              <w:t>Rappel + pictogrammes</w:t>
            </w:r>
          </w:p>
        </w:tc>
      </w:tr>
      <w:tr>
        <w:tc>
          <w:tcPr>
            <w:tcW w:type="dxa" w:w="1644"/>
          </w:tcPr>
          <w:p>
            <w:r>
              <w:t>Harnais antichute</w:t>
            </w:r>
          </w:p>
        </w:tc>
        <w:tc>
          <w:tcPr>
            <w:tcW w:type="dxa" w:w="1644"/>
          </w:tcPr>
          <w:p>
            <w:r>
              <w:t>100%</w:t>
            </w:r>
          </w:p>
        </w:tc>
        <w:tc>
          <w:tcPr>
            <w:tcW w:type="dxa" w:w="1644"/>
          </w:tcPr>
          <w:p>
            <w:r>
              <w:t>100%</w:t>
            </w:r>
          </w:p>
        </w:tc>
        <w:tc>
          <w:tcPr>
            <w:tcW w:type="dxa" w:w="1644"/>
          </w:tcPr>
          <w:p>
            <w:r>
              <w:t>Semestriel</w:t>
            </w:r>
          </w:p>
        </w:tc>
        <w:tc>
          <w:tcPr>
            <w:tcW w:type="dxa" w:w="1644"/>
          </w:tcPr>
          <w:p>
            <w:r>
              <w:t>0</w:t>
            </w:r>
          </w:p>
        </w:tc>
        <w:tc>
          <w:tcPr>
            <w:tcW w:type="dxa" w:w="1644"/>
          </w:tcPr>
          <w:p>
            <w:r>
              <w:t>RAS</w:t>
            </w:r>
          </w:p>
        </w:tc>
      </w:tr>
      <w:tr>
        <w:tc>
          <w:tcPr>
            <w:tcW w:type="dxa" w:w="1644"/>
          </w:tcPr>
          <w:p>
            <w:r>
              <w:t>Crèmes barrière</w:t>
            </w:r>
          </w:p>
        </w:tc>
        <w:tc>
          <w:tcPr>
            <w:tcW w:type="dxa" w:w="1644"/>
          </w:tcPr>
          <w:p>
            <w:r>
              <w:t>90%</w:t>
            </w:r>
          </w:p>
        </w:tc>
        <w:tc>
          <w:tcPr>
            <w:tcW w:type="dxa" w:w="1644"/>
          </w:tcPr>
          <w:p>
            <w:r>
              <w:t>85%</w:t>
            </w:r>
          </w:p>
        </w:tc>
        <w:tc>
          <w:tcPr>
            <w:tcW w:type="dxa" w:w="1644"/>
          </w:tcPr>
          <w:p>
            <w:r>
              <w:t>Mensuel</w:t>
            </w:r>
          </w:p>
        </w:tc>
        <w:tc>
          <w:tcPr>
            <w:tcW w:type="dxa" w:w="1644"/>
          </w:tcPr>
          <w:p>
            <w:r>
              <w:t>Stocks irréguliers</w:t>
            </w:r>
          </w:p>
        </w:tc>
        <w:tc>
          <w:tcPr>
            <w:tcW w:type="dxa" w:w="1644"/>
          </w:tcPr>
          <w:p>
            <w:r>
              <w:t>Kanban au magasin</w:t>
            </w:r>
          </w:p>
        </w:tc>
      </w:tr>
    </w:tbl>
    <w:p>
      <w:pPr>
        <w:spacing w:before="200" w:after="120"/>
      </w:pPr>
      <w:r>
        <w:rPr>
          <w:b/>
          <w:color w:val="008484"/>
          <w:sz w:val="36"/>
        </w:rPr>
        <w:t>7. Analyses de risques &amp; contrôles opérationnels</w:t>
      </w:r>
    </w:p>
    <w:p>
      <w:pPr>
        <w:spacing w:after="120"/>
      </w:pPr>
      <w:r>
        <w:t>Document Unique mis à jour au T2 ; AMDEC sur la ligne LC2 ; renforcement des permis de feu et du dispositif LOTO. Plan d’urgence validé avec exercice d’évacuation en novembre.</w:t>
      </w:r>
    </w:p>
    <w:tbl>
      <w:tblPr>
        <w:tblStyle w:val="MediumShading1-Accent1"/>
        <w:tblW w:type="auto" w:w="0"/>
        <w:tblLook w:firstColumn="1" w:firstRow="1" w:lastColumn="0" w:lastRow="0" w:noHBand="0" w:noVBand="1" w:val="04A0"/>
      </w:tblPr>
      <w:tblGrid>
        <w:gridCol w:w="1644"/>
        <w:gridCol w:w="1644"/>
        <w:gridCol w:w="1644"/>
        <w:gridCol w:w="1644"/>
        <w:gridCol w:w="1644"/>
        <w:gridCol w:w="1644"/>
      </w:tblGrid>
      <w:tr>
        <w:tc>
          <w:tcPr>
            <w:tcW w:type="dxa" w:w="1644"/>
          </w:tcPr>
          <w:p>
            <w:pPr>
              <w:jc w:val="center"/>
            </w:pPr>
            <w:r>
              <w:rPr>
                <w:b/>
              </w:rPr>
              <w:t>Document/Process</w:t>
            </w:r>
          </w:p>
        </w:tc>
        <w:tc>
          <w:tcPr>
            <w:tcW w:type="dxa" w:w="1644"/>
          </w:tcPr>
          <w:p>
            <w:pPr>
              <w:jc w:val="center"/>
            </w:pPr>
            <w:r>
              <w:rPr>
                <w:b/>
              </w:rPr>
              <w:t>Maj</w:t>
            </w:r>
          </w:p>
        </w:tc>
        <w:tc>
          <w:tcPr>
            <w:tcW w:type="dxa" w:w="1644"/>
          </w:tcPr>
          <w:p>
            <w:pPr>
              <w:jc w:val="center"/>
            </w:pPr>
            <w:r>
              <w:rPr>
                <w:b/>
              </w:rPr>
              <w:t>Criticité</w:t>
            </w:r>
          </w:p>
        </w:tc>
        <w:tc>
          <w:tcPr>
            <w:tcW w:type="dxa" w:w="1644"/>
          </w:tcPr>
          <w:p>
            <w:pPr>
              <w:jc w:val="center"/>
            </w:pPr>
            <w:r>
              <w:rPr>
                <w:b/>
              </w:rPr>
              <w:t>Mesures de maîtrise</w:t>
            </w:r>
          </w:p>
        </w:tc>
        <w:tc>
          <w:tcPr>
            <w:tcW w:type="dxa" w:w="1644"/>
          </w:tcPr>
          <w:p>
            <w:pPr>
              <w:jc w:val="center"/>
            </w:pPr>
            <w:r>
              <w:rPr>
                <w:b/>
              </w:rPr>
              <w:t>Responsable</w:t>
            </w:r>
          </w:p>
        </w:tc>
        <w:tc>
          <w:tcPr>
            <w:tcW w:type="dxa" w:w="1644"/>
          </w:tcPr>
          <w:p>
            <w:pPr>
              <w:jc w:val="center"/>
            </w:pPr>
            <w:r>
              <w:rPr>
                <w:b/>
              </w:rPr>
              <w:t>Commentaire</w:t>
            </w:r>
          </w:p>
        </w:tc>
      </w:tr>
      <w:tr>
        <w:tc>
          <w:tcPr>
            <w:tcW w:type="dxa" w:w="1644"/>
          </w:tcPr>
          <w:p>
            <w:r>
              <w:t>DUERP – Atelier A</w:t>
            </w:r>
          </w:p>
        </w:tc>
        <w:tc>
          <w:tcPr>
            <w:tcW w:type="dxa" w:w="1644"/>
          </w:tcPr>
          <w:p>
            <w:r>
              <w:t>05/2025</w:t>
            </w:r>
          </w:p>
        </w:tc>
        <w:tc>
          <w:tcPr>
            <w:tcW w:type="dxa" w:w="1644"/>
          </w:tcPr>
          <w:p>
            <w:r>
              <w:t>Élevée (presse)</w:t>
            </w:r>
          </w:p>
        </w:tc>
        <w:tc>
          <w:tcPr>
            <w:tcW w:type="dxa" w:w="1644"/>
          </w:tcPr>
          <w:p>
            <w:r>
              <w:t>Carters + LOTO + 5S</w:t>
            </w:r>
          </w:p>
        </w:tc>
        <w:tc>
          <w:tcPr>
            <w:tcW w:type="dxa" w:w="1644"/>
          </w:tcPr>
          <w:p>
            <w:r>
              <w:t>QHSE</w:t>
            </w:r>
          </w:p>
        </w:tc>
        <w:tc>
          <w:tcPr>
            <w:tcW w:type="dxa" w:w="1644"/>
          </w:tcPr>
          <w:p>
            <w:r>
              <w:t>Validé CSSCT</w:t>
            </w:r>
          </w:p>
        </w:tc>
      </w:tr>
      <w:tr>
        <w:tc>
          <w:tcPr>
            <w:tcW w:type="dxa" w:w="1644"/>
          </w:tcPr>
          <w:p>
            <w:r>
              <w:t>AMDEC – Ligne LC2</w:t>
            </w:r>
          </w:p>
        </w:tc>
        <w:tc>
          <w:tcPr>
            <w:tcW w:type="dxa" w:w="1644"/>
          </w:tcPr>
          <w:p>
            <w:r>
              <w:t>07/2025</w:t>
            </w:r>
          </w:p>
        </w:tc>
        <w:tc>
          <w:tcPr>
            <w:tcW w:type="dxa" w:w="1644"/>
          </w:tcPr>
          <w:p>
            <w:r>
              <w:t>Moyenne</w:t>
            </w:r>
          </w:p>
        </w:tc>
        <w:tc>
          <w:tcPr>
            <w:tcW w:type="dxa" w:w="1644"/>
          </w:tcPr>
          <w:p>
            <w:r>
              <w:t>Poka-yoke sertissage</w:t>
            </w:r>
          </w:p>
        </w:tc>
        <w:tc>
          <w:tcPr>
            <w:tcW w:type="dxa" w:w="1644"/>
          </w:tcPr>
          <w:p>
            <w:r>
              <w:t>Méthodes</w:t>
            </w:r>
          </w:p>
        </w:tc>
        <w:tc>
          <w:tcPr>
            <w:tcW w:type="dxa" w:w="1644"/>
          </w:tcPr>
          <w:p>
            <w:r>
              <w:t>TRS +2 pts</w:t>
            </w:r>
          </w:p>
        </w:tc>
      </w:tr>
      <w:tr>
        <w:tc>
          <w:tcPr>
            <w:tcW w:type="dxa" w:w="1644"/>
          </w:tcPr>
          <w:p>
            <w:r>
              <w:t>Permis de feu</w:t>
            </w:r>
          </w:p>
        </w:tc>
        <w:tc>
          <w:tcPr>
            <w:tcW w:type="dxa" w:w="1644"/>
          </w:tcPr>
          <w:p>
            <w:r>
              <w:t>09/2025</w:t>
            </w:r>
          </w:p>
        </w:tc>
        <w:tc>
          <w:tcPr>
            <w:tcW w:type="dxa" w:w="1644"/>
          </w:tcPr>
          <w:p>
            <w:r>
              <w:t>Élevée</w:t>
            </w:r>
          </w:p>
        </w:tc>
        <w:tc>
          <w:tcPr>
            <w:tcW w:type="dxa" w:w="1644"/>
          </w:tcPr>
          <w:p>
            <w:r>
              <w:t>Zone coupe dédiée</w:t>
            </w:r>
          </w:p>
        </w:tc>
        <w:tc>
          <w:tcPr>
            <w:tcW w:type="dxa" w:w="1644"/>
          </w:tcPr>
          <w:p>
            <w:r>
              <w:t>Maintenance</w:t>
            </w:r>
          </w:p>
        </w:tc>
        <w:tc>
          <w:tcPr>
            <w:tcW w:type="dxa" w:w="1644"/>
          </w:tcPr>
          <w:p>
            <w:r>
              <w:t>0 dérive</w:t>
            </w:r>
          </w:p>
        </w:tc>
      </w:tr>
      <w:tr>
        <w:tc>
          <w:tcPr>
            <w:tcW w:type="dxa" w:w="1644"/>
          </w:tcPr>
          <w:p>
            <w:r>
              <w:t>Consignation LOTO</w:t>
            </w:r>
          </w:p>
        </w:tc>
        <w:tc>
          <w:tcPr>
            <w:tcW w:type="dxa" w:w="1644"/>
          </w:tcPr>
          <w:p>
            <w:r>
              <w:t>09/2025</w:t>
            </w:r>
          </w:p>
        </w:tc>
        <w:tc>
          <w:tcPr>
            <w:tcW w:type="dxa" w:w="1644"/>
          </w:tcPr>
          <w:p>
            <w:r>
              <w:t>Élevée</w:t>
            </w:r>
          </w:p>
        </w:tc>
        <w:tc>
          <w:tcPr>
            <w:tcW w:type="dxa" w:w="1644"/>
          </w:tcPr>
          <w:p>
            <w:r>
              <w:t>Cadenas nominatif</w:t>
            </w:r>
          </w:p>
        </w:tc>
        <w:tc>
          <w:tcPr>
            <w:tcW w:type="dxa" w:w="1644"/>
          </w:tcPr>
          <w:p>
            <w:r>
              <w:t>Maintenance</w:t>
            </w:r>
          </w:p>
        </w:tc>
        <w:tc>
          <w:tcPr>
            <w:tcW w:type="dxa" w:w="1644"/>
          </w:tcPr>
          <w:p>
            <w:r>
              <w:t>Audit 95%</w:t>
            </w:r>
          </w:p>
        </w:tc>
      </w:tr>
      <w:tr>
        <w:tc>
          <w:tcPr>
            <w:tcW w:type="dxa" w:w="1644"/>
          </w:tcPr>
          <w:p>
            <w:r>
              <w:t>Plan d’urgence</w:t>
            </w:r>
          </w:p>
        </w:tc>
        <w:tc>
          <w:tcPr>
            <w:tcW w:type="dxa" w:w="1644"/>
          </w:tcPr>
          <w:p>
            <w:r>
              <w:t>10/2025</w:t>
            </w:r>
          </w:p>
        </w:tc>
        <w:tc>
          <w:tcPr>
            <w:tcW w:type="dxa" w:w="1644"/>
          </w:tcPr>
          <w:p>
            <w:r>
              <w:t>Moyenne</w:t>
            </w:r>
          </w:p>
        </w:tc>
        <w:tc>
          <w:tcPr>
            <w:tcW w:type="dxa" w:w="1644"/>
          </w:tcPr>
          <w:p>
            <w:r>
              <w:t>Exercice d’évacuation</w:t>
            </w:r>
          </w:p>
        </w:tc>
        <w:tc>
          <w:tcPr>
            <w:tcW w:type="dxa" w:w="1644"/>
          </w:tcPr>
          <w:p>
            <w:r>
              <w:t>QHSE</w:t>
            </w:r>
          </w:p>
        </w:tc>
        <w:tc>
          <w:tcPr>
            <w:tcW w:type="dxa" w:w="1644"/>
          </w:tcPr>
          <w:p>
            <w:r>
              <w:t>12/11 réussi</w:t>
            </w:r>
          </w:p>
        </w:tc>
      </w:tr>
      <w:tr>
        <w:tc>
          <w:tcPr>
            <w:tcW w:type="dxa" w:w="1644"/>
          </w:tcPr>
          <w:p>
            <w:r>
              <w:t>FDS produits</w:t>
            </w:r>
          </w:p>
        </w:tc>
        <w:tc>
          <w:tcPr>
            <w:tcW w:type="dxa" w:w="1644"/>
          </w:tcPr>
          <w:p>
            <w:r>
              <w:t>08/2025</w:t>
            </w:r>
          </w:p>
        </w:tc>
        <w:tc>
          <w:tcPr>
            <w:tcW w:type="dxa" w:w="1644"/>
          </w:tcPr>
          <w:p>
            <w:r>
              <w:t>Faible</w:t>
            </w:r>
          </w:p>
        </w:tc>
        <w:tc>
          <w:tcPr>
            <w:tcW w:type="dxa" w:w="1644"/>
          </w:tcPr>
          <w:p>
            <w:r>
              <w:t>Base partagée + étiquetage CLP/GHS</w:t>
            </w:r>
          </w:p>
        </w:tc>
        <w:tc>
          <w:tcPr>
            <w:tcW w:type="dxa" w:w="1644"/>
          </w:tcPr>
          <w:p>
            <w:r>
              <w:t>Magasin</w:t>
            </w:r>
          </w:p>
        </w:tc>
        <w:tc>
          <w:tcPr>
            <w:tcW w:type="dxa" w:w="1644"/>
          </w:tcPr>
          <w:p>
            <w:r>
              <w:t>À jour</w:t>
            </w:r>
          </w:p>
        </w:tc>
      </w:tr>
    </w:tbl>
    <w:p>
      <w:pPr>
        <w:spacing w:before="200" w:after="120"/>
      </w:pPr>
      <w:r>
        <w:rPr>
          <w:b/>
          <w:color w:val="008484"/>
          <w:sz w:val="36"/>
        </w:rPr>
        <w:t>8. Plan d’actions — Année N+1</w:t>
      </w:r>
    </w:p>
    <w:p>
      <w:pPr>
        <w:spacing w:after="120"/>
      </w:pPr>
      <w:r>
        <w:t>Actions classées P1/P2/P3 avec responsables et échéances. Les priorités portent sur la zone de sertissage, le stockage chimique, les routines 5S et le rituel des causeries sécurité.</w:t>
      </w:r>
    </w:p>
    <w:tbl>
      <w:tblPr>
        <w:tblStyle w:val="MediumShading1-Accent1"/>
        <w:tblW w:type="auto" w:w="0"/>
        <w:tblLook w:firstColumn="1" w:firstRow="1" w:lastColumn="0" w:lastRow="0" w:noHBand="0" w:noVBand="1" w:val="04A0"/>
      </w:tblPr>
      <w:tblGrid>
        <w:gridCol w:w="1409"/>
        <w:gridCol w:w="1409"/>
        <w:gridCol w:w="1409"/>
        <w:gridCol w:w="1409"/>
        <w:gridCol w:w="1409"/>
        <w:gridCol w:w="1409"/>
        <w:gridCol w:w="1409"/>
      </w:tblGrid>
      <w:tr>
        <w:tc>
          <w:tcPr>
            <w:tcW w:type="dxa" w:w="1409"/>
          </w:tcPr>
          <w:p>
            <w:pPr>
              <w:jc w:val="center"/>
            </w:pPr>
            <w:r>
              <w:rPr>
                <w:b/>
              </w:rPr>
              <w:t>Action</w:t>
            </w:r>
          </w:p>
        </w:tc>
        <w:tc>
          <w:tcPr>
            <w:tcW w:type="dxa" w:w="1409"/>
          </w:tcPr>
          <w:p>
            <w:pPr>
              <w:jc w:val="center"/>
            </w:pPr>
            <w:r>
              <w:rPr>
                <w:b/>
              </w:rPr>
              <w:t>Priorité</w:t>
            </w:r>
          </w:p>
        </w:tc>
        <w:tc>
          <w:tcPr>
            <w:tcW w:type="dxa" w:w="1409"/>
          </w:tcPr>
          <w:p>
            <w:pPr>
              <w:jc w:val="center"/>
            </w:pPr>
            <w:r>
              <w:rPr>
                <w:b/>
              </w:rPr>
              <w:t>Responsable</w:t>
            </w:r>
          </w:p>
        </w:tc>
        <w:tc>
          <w:tcPr>
            <w:tcW w:type="dxa" w:w="1409"/>
          </w:tcPr>
          <w:p>
            <w:pPr>
              <w:jc w:val="center"/>
            </w:pPr>
            <w:r>
              <w:rPr>
                <w:b/>
              </w:rPr>
              <w:t>Échéance</w:t>
            </w:r>
          </w:p>
        </w:tc>
        <w:tc>
          <w:tcPr>
            <w:tcW w:type="dxa" w:w="1409"/>
          </w:tcPr>
          <w:p>
            <w:pPr>
              <w:jc w:val="center"/>
            </w:pPr>
            <w:r>
              <w:rPr>
                <w:b/>
              </w:rPr>
              <w:t>Avancement (%)</w:t>
            </w:r>
          </w:p>
        </w:tc>
        <w:tc>
          <w:tcPr>
            <w:tcW w:type="dxa" w:w="1409"/>
          </w:tcPr>
          <w:p>
            <w:pPr>
              <w:jc w:val="center"/>
            </w:pPr>
            <w:r>
              <w:rPr>
                <w:b/>
              </w:rPr>
              <w:t>Statut</w:t>
            </w:r>
          </w:p>
        </w:tc>
        <w:tc>
          <w:tcPr>
            <w:tcW w:type="dxa" w:w="1409"/>
          </w:tcPr>
          <w:p>
            <w:pPr>
              <w:jc w:val="center"/>
            </w:pPr>
            <w:r>
              <w:rPr>
                <w:b/>
              </w:rPr>
              <w:t>Commentaire</w:t>
            </w:r>
          </w:p>
        </w:tc>
      </w:tr>
      <w:tr>
        <w:tc>
          <w:tcPr>
            <w:tcW w:type="dxa" w:w="1409"/>
          </w:tcPr>
          <w:p>
            <w:r>
              <w:t>Sol antidérapant sertissage</w:t>
            </w:r>
          </w:p>
        </w:tc>
        <w:tc>
          <w:tcPr>
            <w:tcW w:type="dxa" w:w="1409"/>
          </w:tcPr>
          <w:p>
            <w:r>
              <w:t>P1</w:t>
            </w:r>
          </w:p>
        </w:tc>
        <w:tc>
          <w:tcPr>
            <w:tcW w:type="dxa" w:w="1409"/>
          </w:tcPr>
          <w:p>
            <w:r>
              <w:t>Production</w:t>
            </w:r>
          </w:p>
        </w:tc>
        <w:tc>
          <w:tcPr>
            <w:tcW w:type="dxa" w:w="1409"/>
          </w:tcPr>
          <w:p>
            <w:r>
              <w:t>31/01/2026</w:t>
            </w:r>
          </w:p>
        </w:tc>
        <w:tc>
          <w:tcPr>
            <w:tcW w:type="dxa" w:w="1409"/>
          </w:tcPr>
          <w:p>
            <w:r>
              <w:t>0</w:t>
            </w:r>
          </w:p>
        </w:tc>
        <w:tc>
          <w:tcPr>
            <w:tcW w:type="dxa" w:w="1409"/>
          </w:tcPr>
          <w:p>
            <w:r>
              <w:t>Ouvert</w:t>
            </w:r>
          </w:p>
        </w:tc>
        <w:tc>
          <w:tcPr>
            <w:tcW w:type="dxa" w:w="1409"/>
          </w:tcPr>
          <w:p>
            <w:r>
              <w:t>Devis validé</w:t>
            </w:r>
          </w:p>
        </w:tc>
      </w:tr>
      <w:tr>
        <w:tc>
          <w:tcPr>
            <w:tcW w:type="dxa" w:w="1409"/>
          </w:tcPr>
          <w:p>
            <w:r>
              <w:t>Gants niveau D zone A</w:t>
            </w:r>
          </w:p>
        </w:tc>
        <w:tc>
          <w:tcPr>
            <w:tcW w:type="dxa" w:w="1409"/>
          </w:tcPr>
          <w:p>
            <w:r>
              <w:t>P1</w:t>
            </w:r>
          </w:p>
        </w:tc>
        <w:tc>
          <w:tcPr>
            <w:tcW w:type="dxa" w:w="1409"/>
          </w:tcPr>
          <w:p>
            <w:r>
              <w:t>Achats</w:t>
            </w:r>
          </w:p>
        </w:tc>
        <w:tc>
          <w:tcPr>
            <w:tcW w:type="dxa" w:w="1409"/>
          </w:tcPr>
          <w:p>
            <w:r>
              <w:t>15/02/2026</w:t>
            </w:r>
          </w:p>
        </w:tc>
        <w:tc>
          <w:tcPr>
            <w:tcW w:type="dxa" w:w="1409"/>
          </w:tcPr>
          <w:p>
            <w:r>
              <w:t>0</w:t>
            </w:r>
          </w:p>
        </w:tc>
        <w:tc>
          <w:tcPr>
            <w:tcW w:type="dxa" w:w="1409"/>
          </w:tcPr>
          <w:p>
            <w:r>
              <w:t>Ouvert</w:t>
            </w:r>
          </w:p>
        </w:tc>
        <w:tc>
          <w:tcPr>
            <w:tcW w:type="dxa" w:w="1409"/>
          </w:tcPr>
          <w:p>
            <w:r>
              <w:t>Tests fournisseurs</w:t>
            </w:r>
          </w:p>
        </w:tc>
      </w:tr>
      <w:tr>
        <w:tc>
          <w:tcPr>
            <w:tcW w:type="dxa" w:w="1409"/>
          </w:tcPr>
          <w:p>
            <w:r>
              <w:t>Marquage extincteurs &amp; voies</w:t>
            </w:r>
          </w:p>
        </w:tc>
        <w:tc>
          <w:tcPr>
            <w:tcW w:type="dxa" w:w="1409"/>
          </w:tcPr>
          <w:p>
            <w:r>
              <w:t>P2</w:t>
            </w:r>
          </w:p>
        </w:tc>
        <w:tc>
          <w:tcPr>
            <w:tcW w:type="dxa" w:w="1409"/>
          </w:tcPr>
          <w:p>
            <w:r>
              <w:t>QHSE</w:t>
            </w:r>
          </w:p>
        </w:tc>
        <w:tc>
          <w:tcPr>
            <w:tcW w:type="dxa" w:w="1409"/>
          </w:tcPr>
          <w:p>
            <w:r>
              <w:t>31/03/2026</w:t>
            </w:r>
          </w:p>
        </w:tc>
        <w:tc>
          <w:tcPr>
            <w:tcW w:type="dxa" w:w="1409"/>
          </w:tcPr>
          <w:p>
            <w:r>
              <w:t>0</w:t>
            </w:r>
          </w:p>
        </w:tc>
        <w:tc>
          <w:tcPr>
            <w:tcW w:type="dxa" w:w="1409"/>
          </w:tcPr>
          <w:p>
            <w:r>
              <w:t>Ouvert</w:t>
            </w:r>
          </w:p>
        </w:tc>
        <w:tc>
          <w:tcPr>
            <w:tcW w:type="dxa" w:w="1409"/>
          </w:tcPr>
          <w:p>
            <w:r>
              <w:t>Plan de marquage</w:t>
            </w:r>
          </w:p>
        </w:tc>
      </w:tr>
      <w:tr>
        <w:tc>
          <w:tcPr>
            <w:tcW w:type="dxa" w:w="1409"/>
          </w:tcPr>
          <w:p>
            <w:r>
              <w:t>Former 100% caristes calage palettes</w:t>
            </w:r>
          </w:p>
        </w:tc>
        <w:tc>
          <w:tcPr>
            <w:tcW w:type="dxa" w:w="1409"/>
          </w:tcPr>
          <w:p>
            <w:r>
              <w:t>P2</w:t>
            </w:r>
          </w:p>
        </w:tc>
        <w:tc>
          <w:tcPr>
            <w:tcW w:type="dxa" w:w="1409"/>
          </w:tcPr>
          <w:p>
            <w:r>
              <w:t>Logistique</w:t>
            </w:r>
          </w:p>
        </w:tc>
        <w:tc>
          <w:tcPr>
            <w:tcW w:type="dxa" w:w="1409"/>
          </w:tcPr>
          <w:p>
            <w:r>
              <w:t>30/04/2026</w:t>
            </w:r>
          </w:p>
        </w:tc>
        <w:tc>
          <w:tcPr>
            <w:tcW w:type="dxa" w:w="1409"/>
          </w:tcPr>
          <w:p>
            <w:r>
              <w:t>0</w:t>
            </w:r>
          </w:p>
        </w:tc>
        <w:tc>
          <w:tcPr>
            <w:tcW w:type="dxa" w:w="1409"/>
          </w:tcPr>
          <w:p>
            <w:r>
              <w:t>Planifié</w:t>
            </w:r>
          </w:p>
        </w:tc>
        <w:tc>
          <w:tcPr>
            <w:tcW w:type="dxa" w:w="1409"/>
          </w:tcPr>
          <w:p>
            <w:r>
              <w:t>Sessions Q1–Q2</w:t>
            </w:r>
          </w:p>
        </w:tc>
      </w:tr>
      <w:tr>
        <w:tc>
          <w:tcPr>
            <w:tcW w:type="dxa" w:w="1409"/>
          </w:tcPr>
          <w:p>
            <w:r>
              <w:t>Kanban crèmes barrière</w:t>
            </w:r>
          </w:p>
        </w:tc>
        <w:tc>
          <w:tcPr>
            <w:tcW w:type="dxa" w:w="1409"/>
          </w:tcPr>
          <w:p>
            <w:r>
              <w:t>P3</w:t>
            </w:r>
          </w:p>
        </w:tc>
        <w:tc>
          <w:tcPr>
            <w:tcW w:type="dxa" w:w="1409"/>
          </w:tcPr>
          <w:p>
            <w:r>
              <w:t>Magasin</w:t>
            </w:r>
          </w:p>
        </w:tc>
        <w:tc>
          <w:tcPr>
            <w:tcW w:type="dxa" w:w="1409"/>
          </w:tcPr>
          <w:p>
            <w:r>
              <w:t>31/03/2026</w:t>
            </w:r>
          </w:p>
        </w:tc>
        <w:tc>
          <w:tcPr>
            <w:tcW w:type="dxa" w:w="1409"/>
          </w:tcPr>
          <w:p>
            <w:r>
              <w:t>0</w:t>
            </w:r>
          </w:p>
        </w:tc>
        <w:tc>
          <w:tcPr>
            <w:tcW w:type="dxa" w:w="1409"/>
          </w:tcPr>
          <w:p>
            <w:r>
              <w:t>Ouvert</w:t>
            </w:r>
          </w:p>
        </w:tc>
        <w:tc>
          <w:tcPr>
            <w:tcW w:type="dxa" w:w="1409"/>
          </w:tcPr>
          <w:p>
            <w:r>
              <w:t>Implémentation 2 bacs</w:t>
            </w:r>
          </w:p>
        </w:tc>
      </w:tr>
      <w:tr>
        <w:tc>
          <w:tcPr>
            <w:tcW w:type="dxa" w:w="1409"/>
          </w:tcPr>
          <w:p>
            <w:r>
              <w:t>Audit stockage classe 3</w:t>
            </w:r>
          </w:p>
        </w:tc>
        <w:tc>
          <w:tcPr>
            <w:tcW w:type="dxa" w:w="1409"/>
          </w:tcPr>
          <w:p>
            <w:r>
              <w:t>P1</w:t>
            </w:r>
          </w:p>
        </w:tc>
        <w:tc>
          <w:tcPr>
            <w:tcW w:type="dxa" w:w="1409"/>
          </w:tcPr>
          <w:p>
            <w:r>
              <w:t>QHSE</w:t>
            </w:r>
          </w:p>
        </w:tc>
        <w:tc>
          <w:tcPr>
            <w:tcW w:type="dxa" w:w="1409"/>
          </w:tcPr>
          <w:p>
            <w:r>
              <w:t>29/02/2026</w:t>
            </w:r>
          </w:p>
        </w:tc>
        <w:tc>
          <w:tcPr>
            <w:tcW w:type="dxa" w:w="1409"/>
          </w:tcPr>
          <w:p>
            <w:r>
              <w:t>0</w:t>
            </w:r>
          </w:p>
        </w:tc>
        <w:tc>
          <w:tcPr>
            <w:tcW w:type="dxa" w:w="1409"/>
          </w:tcPr>
          <w:p>
            <w:r>
              <w:t>Ouvert</w:t>
            </w:r>
          </w:p>
        </w:tc>
        <w:tc>
          <w:tcPr>
            <w:tcW w:type="dxa" w:w="1409"/>
          </w:tcPr>
          <w:p>
            <w:r>
              <w:t>Checklist REG-CHIM</w:t>
            </w:r>
          </w:p>
        </w:tc>
      </w:tr>
      <w:tr>
        <w:tc>
          <w:tcPr>
            <w:tcW w:type="dxa" w:w="1409"/>
          </w:tcPr>
          <w:p>
            <w:r>
              <w:t>Préparer certif ISO 14001</w:t>
            </w:r>
          </w:p>
        </w:tc>
        <w:tc>
          <w:tcPr>
            <w:tcW w:type="dxa" w:w="1409"/>
          </w:tcPr>
          <w:p>
            <w:r>
              <w:t>P2</w:t>
            </w:r>
          </w:p>
        </w:tc>
        <w:tc>
          <w:tcPr>
            <w:tcW w:type="dxa" w:w="1409"/>
          </w:tcPr>
          <w:p>
            <w:r>
              <w:t>QHSE</w:t>
            </w:r>
          </w:p>
        </w:tc>
        <w:tc>
          <w:tcPr>
            <w:tcW w:type="dxa" w:w="1409"/>
          </w:tcPr>
          <w:p>
            <w:r>
              <w:t>15/06/2026</w:t>
            </w:r>
          </w:p>
        </w:tc>
        <w:tc>
          <w:tcPr>
            <w:tcW w:type="dxa" w:w="1409"/>
          </w:tcPr>
          <w:p>
            <w:r>
              <w:t>0</w:t>
            </w:r>
          </w:p>
        </w:tc>
        <w:tc>
          <w:tcPr>
            <w:tcW w:type="dxa" w:w="1409"/>
          </w:tcPr>
          <w:p>
            <w:r>
              <w:t>Ouvert</w:t>
            </w:r>
          </w:p>
        </w:tc>
        <w:tc>
          <w:tcPr>
            <w:tcW w:type="dxa" w:w="1409"/>
          </w:tcPr>
          <w:p>
            <w:r>
              <w:t>Roadmap établie</w:t>
            </w:r>
          </w:p>
        </w:tc>
      </w:tr>
      <w:tr>
        <w:tc>
          <w:tcPr>
            <w:tcW w:type="dxa" w:w="1409"/>
          </w:tcPr>
          <w:p>
            <w:r>
              <w:t>Affichage dynamique HSE</w:t>
            </w:r>
          </w:p>
        </w:tc>
        <w:tc>
          <w:tcPr>
            <w:tcW w:type="dxa" w:w="1409"/>
          </w:tcPr>
          <w:p>
            <w:r>
              <w:t>P3</w:t>
            </w:r>
          </w:p>
        </w:tc>
        <w:tc>
          <w:tcPr>
            <w:tcW w:type="dxa" w:w="1409"/>
          </w:tcPr>
          <w:p>
            <w:r>
              <w:t>IT</w:t>
            </w:r>
          </w:p>
        </w:tc>
        <w:tc>
          <w:tcPr>
            <w:tcW w:type="dxa" w:w="1409"/>
          </w:tcPr>
          <w:p>
            <w:r>
              <w:t>30/06/2026</w:t>
            </w:r>
          </w:p>
        </w:tc>
        <w:tc>
          <w:tcPr>
            <w:tcW w:type="dxa" w:w="1409"/>
          </w:tcPr>
          <w:p>
            <w:r>
              <w:t>0</w:t>
            </w:r>
          </w:p>
        </w:tc>
        <w:tc>
          <w:tcPr>
            <w:tcW w:type="dxa" w:w="1409"/>
          </w:tcPr>
          <w:p>
            <w:r>
              <w:t>Ouvert</w:t>
            </w:r>
          </w:p>
        </w:tc>
        <w:tc>
          <w:tcPr>
            <w:tcW w:type="dxa" w:w="1409"/>
          </w:tcPr>
          <w:p>
            <w:r>
              <w:t>Écrans ateliers</w:t>
            </w:r>
          </w:p>
        </w:tc>
      </w:tr>
      <w:tr>
        <w:tc>
          <w:tcPr>
            <w:tcW w:type="dxa" w:w="1409"/>
          </w:tcPr>
          <w:p>
            <w:r>
              <w:t>Renforcer causeries (Q2)</w:t>
            </w:r>
          </w:p>
        </w:tc>
        <w:tc>
          <w:tcPr>
            <w:tcW w:type="dxa" w:w="1409"/>
          </w:tcPr>
          <w:p>
            <w:r>
              <w:t>P3</w:t>
            </w:r>
          </w:p>
        </w:tc>
        <w:tc>
          <w:tcPr>
            <w:tcW w:type="dxa" w:w="1409"/>
          </w:tcPr>
          <w:p>
            <w:r>
              <w:t>Managers</w:t>
            </w:r>
          </w:p>
        </w:tc>
        <w:tc>
          <w:tcPr>
            <w:tcW w:type="dxa" w:w="1409"/>
          </w:tcPr>
          <w:p>
            <w:r>
              <w:t>31/05/2026</w:t>
            </w:r>
          </w:p>
        </w:tc>
        <w:tc>
          <w:tcPr>
            <w:tcW w:type="dxa" w:w="1409"/>
          </w:tcPr>
          <w:p>
            <w:r>
              <w:t>0</w:t>
            </w:r>
          </w:p>
        </w:tc>
        <w:tc>
          <w:tcPr>
            <w:tcW w:type="dxa" w:w="1409"/>
          </w:tcPr>
          <w:p>
            <w:r>
              <w:t>Ouvert</w:t>
            </w:r>
          </w:p>
        </w:tc>
        <w:tc>
          <w:tcPr>
            <w:tcW w:type="dxa" w:w="1409"/>
          </w:tcPr>
          <w:p>
            <w:r>
              <w:t>Thèmes ciblés</w:t>
            </w:r>
          </w:p>
        </w:tc>
      </w:tr>
      <w:tr>
        <w:tc>
          <w:tcPr>
            <w:tcW w:type="dxa" w:w="1409"/>
          </w:tcPr>
          <w:p>
            <w:r>
              <w:t>Programme 5S zones A/B</w:t>
            </w:r>
          </w:p>
        </w:tc>
        <w:tc>
          <w:tcPr>
            <w:tcW w:type="dxa" w:w="1409"/>
          </w:tcPr>
          <w:p>
            <w:r>
              <w:t>P2</w:t>
            </w:r>
          </w:p>
        </w:tc>
        <w:tc>
          <w:tcPr>
            <w:tcW w:type="dxa" w:w="1409"/>
          </w:tcPr>
          <w:p>
            <w:r>
              <w:t>Lean</w:t>
            </w:r>
          </w:p>
        </w:tc>
        <w:tc>
          <w:tcPr>
            <w:tcW w:type="dxa" w:w="1409"/>
          </w:tcPr>
          <w:p>
            <w:r>
              <w:t>31/07/2026</w:t>
            </w:r>
          </w:p>
        </w:tc>
        <w:tc>
          <w:tcPr>
            <w:tcW w:type="dxa" w:w="1409"/>
          </w:tcPr>
          <w:p>
            <w:r>
              <w:t>0</w:t>
            </w:r>
          </w:p>
        </w:tc>
        <w:tc>
          <w:tcPr>
            <w:tcW w:type="dxa" w:w="1409"/>
          </w:tcPr>
          <w:p>
            <w:r>
              <w:t>Ouvert</w:t>
            </w:r>
          </w:p>
        </w:tc>
        <w:tc>
          <w:tcPr>
            <w:tcW w:type="dxa" w:w="1409"/>
          </w:tcPr>
          <w:p>
            <w:r>
              <w:t>Audit mensuel</w:t>
            </w:r>
          </w:p>
        </w:tc>
      </w:tr>
    </w:tbl>
    <w:p>
      <w:pPr>
        <w:spacing w:before="200" w:after="120"/>
      </w:pPr>
      <w:r>
        <w:rPr>
          <w:b/>
          <w:color w:val="008484"/>
          <w:sz w:val="36"/>
        </w:rPr>
        <w:t>9. Revue de direction</w:t>
      </w:r>
    </w:p>
    <w:p>
      <w:pPr>
        <w:spacing w:after="120"/>
      </w:pPr>
      <w:r>
        <w:t>La Direction confirme : budget EPI renforcé (+12%), investissement sol antidérapant, calendrier ISO 14001 (T2‑2026) et affichage HSE en atelier. Objectifs mis à jour : TF ≤ 1,8 ; conformité EPI 99% ; 100% de clôture des écarts sous 60 jours.</w:t>
      </w:r>
    </w:p>
    <w:p>
      <w:pPr>
        <w:spacing w:before="200" w:after="120"/>
      </w:pPr>
      <w:r>
        <w:rPr>
          <w:b/>
          <w:color w:val="008484"/>
          <w:sz w:val="36"/>
        </w:rPr>
        <w:t>Annexes</w:t>
      </w:r>
    </w:p>
    <w:p>
      <w:pPr>
        <w:spacing w:after="120"/>
      </w:pPr>
      <w:r>
        <w:t>FDS à jour, registres d’évacuation, PV d’audit, émargements formation, rapport d’accident, photos des corrections, plan de marquage au sol, extraits DUERP.</w:t>
      </w:r>
    </w:p>
    <w:tbl>
      <w:tblPr>
        <w:tblW w:type="auto" w:w="0"/>
        <w:tblLook w:firstColumn="1" w:firstRow="1" w:lastColumn="0" w:lastRow="0" w:noHBand="0" w:noVBand="1" w:val="04A0"/>
      </w:tblPr>
      <w:tblGrid>
        <w:gridCol w:w="9866"/>
      </w:tblGrid>
      <w:tr>
        <w:tc>
          <w:tcPr>
            <w:tcW w:type="dxa" w:w="9866"/>
            <w:shd w:val="clear" w:color="auto" w:fill="008484"/>
          </w:tcPr>
          <w:p>
            <w:r>
              <w:br/>
            </w:r>
          </w:p>
        </w:tc>
      </w:tr>
    </w:tbl>
    <w:sectPr w:rsidR="00FC693F" w:rsidRPr="0006063C" w:rsidSect="00034616">
      <w:footerReference w:type="default" r:id="rId9"/>
      <w:pgSz w:w="11906" w:h="16838"/>
      <w:pgMar w:top="850" w:right="1020" w:bottom="85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t>lecoursgratuit.com — Modèle HSE (Hygiène &amp; Sécurité) — 2025</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