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556B2F"/>
          </w:tcPr>
          <w:p>
            <w:r>
              <w:rPr>
                <w:rFonts w:ascii="Calibri" w:hAnsi="Calibri" w:eastAsia="Calibri"/>
                <w:b/>
                <w:color w:val="FFFFFF"/>
                <w:sz w:val="30"/>
              </w:rPr>
              <w:t>FICHE DE POSTE — Atlas olive/sable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DE9D5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DE9D5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DE9D5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DE9D5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DE9D5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Finalité du poste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Missions principales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Responsabilités &amp; Autorités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Indicateurs de performance (KPIs)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Compétences requises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Profil recherché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Interactions clés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Conditions et cadre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Contraintes et HSE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"/>
        <w:gridCol w:w="9921"/>
      </w:tblGrid>
      <w:tr>
        <w:tc>
          <w:tcPr>
            <w:tcW w:type="dxa" w:w="4989"/>
            <w:shd w:val="clear" w:color="auto" w:fill="556B2F"/>
          </w:tcPr>
          <w:p/>
        </w:tc>
        <w:tc>
          <w:tcPr>
            <w:tcW w:type="dxa" w:w="4989"/>
          </w:tcPr>
          <w:p>
            <w:r>
              <w:rPr>
                <w:rFonts w:ascii="Calibri" w:hAnsi="Calibri" w:eastAsia="Calibri"/>
                <w:b/>
                <w:color w:val="334155"/>
                <w:sz w:val="24"/>
              </w:rPr>
              <w:t>Évolutions possibles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08/11/2025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