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color w:val="00326E"/>
          <w:sz w:val="32"/>
        </w:rPr>
        <w:t>FICHE DE RÉVISION – HISTOIRE LITTÉRAIRE (BAC FRANÇAIS)</w:t>
      </w:r>
    </w:p>
    <w:p>
      <w:pPr>
        <w:jc w:val="center"/>
      </w:pPr>
      <w:r>
        <w:rPr>
          <w:i/>
          <w:color w:val="5A5A5A"/>
          <w:sz w:val="20"/>
        </w:rPr>
        <w:t>Maquette A4 à compléter pour chaque mouvement, siècle ou œuvre étudié</w:t>
      </w:r>
    </w:p>
    <w:p/>
    <w:p>
      <w:pPr>
        <w:shd w:fill="0066CC"/>
      </w:pPr>
      <w:r>
        <w:rPr>
          <w:b/>
          <w:color w:val="FFFFFF"/>
          <w:sz w:val="24"/>
        </w:rPr>
        <w:t xml:space="preserve">  Repères d’identification  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6"/>
        <w:gridCol w:w="2556"/>
        <w:gridCol w:w="2556"/>
        <w:gridCol w:w="2556"/>
      </w:tblGrid>
      <w:tr>
        <w:tc>
          <w:tcPr>
            <w:tcW w:type="dxa" w:w="2556"/>
          </w:tcPr>
          <w:p>
            <w:r>
              <w:rPr>
                <w:b/>
                <w:sz w:val="18"/>
              </w:rPr>
              <w:t>Mouvement / Siècle</w:t>
            </w:r>
          </w:p>
        </w:tc>
        <w:tc>
          <w:tcPr>
            <w:tcW w:type="dxa" w:w="2556"/>
          </w:tcPr>
          <w:p>
            <w:r>
              <w:rPr>
                <w:b/>
                <w:sz w:val="18"/>
              </w:rPr>
              <w:t>Auteur</w:t>
            </w:r>
          </w:p>
        </w:tc>
        <w:tc>
          <w:tcPr>
            <w:tcW w:type="dxa" w:w="2556"/>
          </w:tcPr>
          <w:p>
            <w:r>
              <w:rPr>
                <w:b/>
                <w:sz w:val="18"/>
              </w:rPr>
              <w:t>Œuvre / Corpus</w:t>
            </w:r>
          </w:p>
        </w:tc>
        <w:tc>
          <w:tcPr>
            <w:tcW w:type="dxa" w:w="2556"/>
          </w:tcPr>
          <w:p>
            <w:r>
              <w:rPr>
                <w:b/>
                <w:sz w:val="18"/>
              </w:rPr>
              <w:t>Objet d’étude / Entrée du programme</w:t>
            </w:r>
          </w:p>
        </w:tc>
      </w:tr>
      <w:tr>
        <w:tc>
          <w:tcPr>
            <w:tcW w:type="dxa" w:w="2556"/>
          </w:tcPr>
          <w:p>
            <w:r/>
          </w:p>
        </w:tc>
        <w:tc>
          <w:tcPr>
            <w:tcW w:type="dxa" w:w="2556"/>
          </w:tcPr>
          <w:p>
            <w:r/>
          </w:p>
        </w:tc>
        <w:tc>
          <w:tcPr>
            <w:tcW w:type="dxa" w:w="2556"/>
          </w:tcPr>
          <w:p>
            <w:r/>
          </w:p>
        </w:tc>
        <w:tc>
          <w:tcPr>
            <w:tcW w:type="dxa" w:w="2556"/>
          </w:tcPr>
          <w:p>
            <w:r/>
          </w:p>
        </w:tc>
      </w:tr>
    </w:tbl>
    <w:p/>
    <w:p>
      <w:pPr>
        <w:shd w:fill="009999"/>
      </w:pPr>
      <w:r>
        <w:rPr>
          <w:b/>
          <w:color w:val="FFFFFF"/>
          <w:sz w:val="24"/>
        </w:rPr>
        <w:t xml:space="preserve">  Contexte historique et culturel  </w:t>
      </w:r>
    </w:p>
    <w:p>
      <w:pPr>
        <w:spacing w:after="80"/>
      </w:pPr>
      <w:r>
        <w:t>Situer l’œuvre et le mouvement dans l’histoire : régime politique, grands événements, mentalités, débats intellectuels, arts et sciences. Mettre en évidence ce qui change par rapport à la période précédente.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10224"/>
          </w:tcPr>
          <w:p>
            <w:r>
              <w:rPr>
                <w:b/>
              </w:rPr>
              <w:t>Résumé du contexte :</w:t>
            </w:r>
          </w:p>
        </w:tc>
      </w:tr>
      <w:tr>
        <w:tc>
          <w:tcPr>
            <w:tcW w:type="dxa" w:w="10224"/>
          </w:tcPr>
          <w:p>
            <w:r/>
          </w:p>
        </w:tc>
      </w:tr>
    </w:tbl>
    <w:p/>
    <w:p>
      <w:pPr>
        <w:shd w:fill="996600"/>
      </w:pPr>
      <w:r>
        <w:rPr>
          <w:b/>
          <w:color w:val="FFFFFF"/>
          <w:sz w:val="24"/>
        </w:rPr>
        <w:t xml:space="preserve">  Repères chronologiques  </w:t>
      </w:r>
    </w:p>
    <w:p>
      <w:pPr>
        <w:spacing w:after="80"/>
      </w:pPr>
      <w:r>
        <w:t>Noter quelques dates clés : naissance et mort de l’auteur, publication de l’œuvre, événements historiques majeurs.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</w:rPr>
              <w:t>Date</w:t>
            </w:r>
          </w:p>
        </w:tc>
        <w:tc>
          <w:tcPr>
            <w:tcW w:type="dxa" w:w="5112"/>
          </w:tcPr>
          <w:p>
            <w:r>
              <w:rPr>
                <w:b/>
              </w:rPr>
              <w:t>Événement / repère</w:t>
            </w:r>
          </w:p>
        </w:tc>
      </w:tr>
      <w:tr>
        <w:tc>
          <w:tcPr>
            <w:tcW w:type="dxa" w:w="5112"/>
          </w:tcPr>
          <w:p>
            <w:r/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/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/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/>
          </w:p>
        </w:tc>
        <w:tc>
          <w:tcPr>
            <w:tcW w:type="dxa" w:w="5112"/>
          </w:tcPr>
          <w:p>
            <w:r/>
          </w:p>
        </w:tc>
      </w:tr>
    </w:tbl>
    <w:p/>
    <w:p>
      <w:pPr>
        <w:shd w:fill="009900"/>
      </w:pPr>
      <w:r>
        <w:rPr>
          <w:b/>
          <w:color w:val="FFFFFF"/>
          <w:sz w:val="24"/>
        </w:rPr>
        <w:t xml:space="preserve">  Caractéristiques du mouvement littéraire  </w:t>
      </w:r>
    </w:p>
    <w:p>
      <w:pPr>
        <w:spacing w:after="80"/>
      </w:pPr>
      <w:r>
        <w:t>Repérer les grandes idées, les thèmes privilégiés, le rapport au langage et au lecteur. Comparer avec le mouvement précédent ou suivant (ce que l’on rejette, ce que l’on invente).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</w:rPr>
              <w:t>Idées et valeurs centrales :</w:t>
            </w:r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>
              <w:rPr>
                <w:b/>
              </w:rPr>
              <w:t>Thèmes récurrents :</w:t>
            </w:r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>
              <w:rPr>
                <w:b/>
              </w:rPr>
              <w:t>Procédés d’écriture caractéristiques :</w:t>
            </w:r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>
              <w:rPr>
                <w:b/>
              </w:rPr>
              <w:t>Genres privilégiés :</w:t>
            </w:r>
          </w:p>
        </w:tc>
        <w:tc>
          <w:tcPr>
            <w:tcW w:type="dxa" w:w="5112"/>
          </w:tcPr>
          <w:p>
            <w:r/>
          </w:p>
        </w:tc>
      </w:tr>
    </w:tbl>
    <w:p/>
    <w:p>
      <w:pPr>
        <w:shd w:fill="800080"/>
      </w:pPr>
      <w:r>
        <w:rPr>
          <w:b/>
          <w:color w:val="FFFFFF"/>
          <w:sz w:val="24"/>
        </w:rPr>
        <w:t xml:space="preserve">  Œuvre(s) et textes au programme  </w:t>
      </w:r>
    </w:p>
    <w:p>
      <w:pPr>
        <w:spacing w:after="80"/>
      </w:pPr>
      <w:r>
        <w:t>Pour chaque texte : rappeler la situation d’énonciation, le genre, le type de scène ou de passage, et l’idée principale. Cette partie sert de mémo rapide avant l’oral.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rPr>
                <w:b/>
              </w:rPr>
              <w:t>Texte / extrait</w:t>
            </w:r>
          </w:p>
        </w:tc>
        <w:tc>
          <w:tcPr>
            <w:tcW w:type="dxa" w:w="3408"/>
          </w:tcPr>
          <w:p>
            <w:r>
              <w:rPr>
                <w:b/>
              </w:rPr>
              <w:t>Genre / type / registre</w:t>
            </w:r>
          </w:p>
        </w:tc>
        <w:tc>
          <w:tcPr>
            <w:tcW w:type="dxa" w:w="3408"/>
          </w:tcPr>
          <w:p>
            <w:r>
              <w:rPr>
                <w:b/>
              </w:rPr>
              <w:t>Enjeu principal / idée à retenir</w:t>
            </w:r>
          </w:p>
        </w:tc>
      </w:tr>
      <w:tr>
        <w:tc>
          <w:tcPr>
            <w:tcW w:type="dxa" w:w="3408"/>
          </w:tcPr>
          <w:p>
            <w:r/>
          </w:p>
        </w:tc>
        <w:tc>
          <w:tcPr>
            <w:tcW w:type="dxa" w:w="3408"/>
          </w:tcPr>
          <w:p>
            <w:r/>
          </w:p>
        </w:tc>
        <w:tc>
          <w:tcPr>
            <w:tcW w:type="dxa" w:w="3408"/>
          </w:tcPr>
          <w:p>
            <w:r/>
          </w:p>
        </w:tc>
      </w:tr>
      <w:tr>
        <w:tc>
          <w:tcPr>
            <w:tcW w:type="dxa" w:w="3408"/>
          </w:tcPr>
          <w:p>
            <w:r/>
          </w:p>
        </w:tc>
        <w:tc>
          <w:tcPr>
            <w:tcW w:type="dxa" w:w="3408"/>
          </w:tcPr>
          <w:p>
            <w:r/>
          </w:p>
        </w:tc>
        <w:tc>
          <w:tcPr>
            <w:tcW w:type="dxa" w:w="3408"/>
          </w:tcPr>
          <w:p>
            <w:r/>
          </w:p>
        </w:tc>
      </w:tr>
      <w:tr>
        <w:tc>
          <w:tcPr>
            <w:tcW w:type="dxa" w:w="3408"/>
          </w:tcPr>
          <w:p>
            <w:r/>
          </w:p>
        </w:tc>
        <w:tc>
          <w:tcPr>
            <w:tcW w:type="dxa" w:w="3408"/>
          </w:tcPr>
          <w:p>
            <w:r/>
          </w:p>
        </w:tc>
        <w:tc>
          <w:tcPr>
            <w:tcW w:type="dxa" w:w="3408"/>
          </w:tcPr>
          <w:p>
            <w:r/>
          </w:p>
        </w:tc>
      </w:tr>
    </w:tbl>
    <w:p/>
    <w:p>
      <w:pPr>
        <w:shd w:fill="CC0000"/>
      </w:pPr>
      <w:r>
        <w:rPr>
          <w:b/>
          <w:color w:val="FFFFFF"/>
          <w:sz w:val="24"/>
        </w:rPr>
        <w:t xml:space="preserve">  Citations et formules à connaître  </w:t>
      </w:r>
    </w:p>
    <w:p>
      <w:pPr>
        <w:spacing w:after="80"/>
      </w:pPr>
      <w:r>
        <w:t>Choisir quelques citations courtes ou formules utiles pour l’introduction, la conclusion ou l’analyse d’un passage. Indiquer comment les exploiter à l’oral.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</w:rPr>
              <w:t>Citation / formule</w:t>
            </w:r>
          </w:p>
        </w:tc>
        <w:tc>
          <w:tcPr>
            <w:tcW w:type="dxa" w:w="5112"/>
          </w:tcPr>
          <w:p>
            <w:r>
              <w:rPr>
                <w:b/>
              </w:rPr>
              <w:t>Comment l’exploiter ?</w:t>
            </w:r>
          </w:p>
        </w:tc>
      </w:tr>
      <w:tr>
        <w:tc>
          <w:tcPr>
            <w:tcW w:type="dxa" w:w="5112"/>
          </w:tcPr>
          <w:p>
            <w:r/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/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/>
          </w:p>
        </w:tc>
        <w:tc>
          <w:tcPr>
            <w:tcW w:type="dxa" w:w="5112"/>
          </w:tcPr>
          <w:p>
            <w:r/>
          </w:p>
        </w:tc>
      </w:tr>
    </w:tbl>
    <w:p/>
    <w:p>
      <w:pPr>
        <w:shd w:fill="660099"/>
      </w:pPr>
      <w:r>
        <w:rPr>
          <w:b/>
          <w:color w:val="FFFFFF"/>
          <w:sz w:val="24"/>
        </w:rPr>
        <w:t xml:space="preserve">  Mémo méthode – Utiliser la fiche le jour J  </w:t>
      </w:r>
    </w:p>
    <w:p>
      <w:pPr>
        <w:spacing w:after="80"/>
      </w:pPr>
      <w:r>
        <w:t>Noter les trois idées à placer absolument, les pièges à éviter et une formule d’ouverture ou de conclusion. Cette partie fonctionne comme un petit coaching personnel pour le jour de l’épreuve.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10224"/>
          </w:tcPr>
          <w:p>
            <w:r>
              <w:rPr>
                <w:b/>
              </w:rPr>
              <w:t>Idées incontournables à placer :</w:t>
            </w:r>
          </w:p>
        </w:tc>
      </w:tr>
      <w:tr>
        <w:tc>
          <w:tcPr>
            <w:tcW w:type="dxa" w:w="10224"/>
          </w:tcPr>
          <w:p>
            <w:r>
              <w:rPr>
                <w:b/>
              </w:rPr>
              <w:t>Pièges / erreurs fréquentes à éviter :</w:t>
            </w:r>
          </w:p>
        </w:tc>
      </w:tr>
      <w:tr>
        <w:tc>
          <w:tcPr>
            <w:tcW w:type="dxa" w:w="10224"/>
          </w:tcPr>
          <w:p>
            <w:r>
              <w:rPr>
                <w:b/>
              </w:rPr>
              <w:t>Formule d’ouverture / de conclusion à préparer :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6"/>
      </w:rPr>
      <w:t>Modèle de fiche de révision – lecoursgratuit.com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b/>
        <w:color w:val="00468C"/>
        <w:sz w:val="20"/>
      </w:rPr>
      <w:t>Bac français – Fiche de révision : Histoire littéraire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