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1F2937"/>
          <w:sz w:val="36"/>
        </w:rPr>
        <w:t>FICHE MÉTHODE — COMMENTAIRE COMPOSÉ (PRÉ-REMPLIE)</w:t>
      </w:r>
    </w:p>
    <w:p>
      <w:pPr>
        <w:jc w:val="center"/>
      </w:pPr>
      <w:r>
        <w:rPr>
          <w:color w:val="586168"/>
          <w:sz w:val="22"/>
        </w:rPr>
        <w:t>Exemple appliqué : Molière, Dom Juan, Acte I, scène 2 — Portrait inaugural par Sganarelle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fill="ECFDF5"/>
            <w:tcBorders>
              <w:top w:val="single" w:sz="16" w:color="10B981"/>
              <w:left w:val="single" w:sz="16" w:color="10B981"/>
              <w:bottom w:val="single" w:sz="16" w:color="10B981"/>
              <w:right w:val="single" w:sz="16" w:color="10B981"/>
            </w:tcBorders>
          </w:tcPr>
          <w:p>
            <w:pPr>
              <w:jc w:val="left"/>
            </w:pPr>
            <w:r>
              <w:rPr>
                <w:b/>
                <w:color w:val="1E40AF"/>
                <w:sz w:val="24"/>
              </w:rPr>
              <w:t>Introduction (rédigée)</w:t>
            </w:r>
          </w:p>
        </w:tc>
      </w:tr>
      <w:tr>
        <w:tc>
          <w:tcPr>
            <w:tcW w:type="dxa" w:w="9866"/>
            <w:shd w:fill="ECFDF5"/>
            <w:tcBorders>
              <w:top w:val="single" w:sz="16" w:color="10B981"/>
              <w:left w:val="single" w:sz="16" w:color="10B981"/>
              <w:bottom w:val="single" w:sz="16" w:color="10B981"/>
              <w:right w:val="single" w:sz="16" w:color="10B981"/>
            </w:tcBorders>
          </w:tcPr>
          <w:p>
            <w:pPr>
              <w:spacing w:line="240" w:lineRule="auto"/>
            </w:pPr>
            <w:r>
              <w:rPr>
                <w:color w:val="1F2937"/>
                <w:sz w:val="22"/>
              </w:rPr>
              <w:t>On n’entre pas dans Dom Juan par la porte du héros, mais par l’œil inquiet de Sganarelle. Molière choisit l’obliquité : présenter l’« impie » en son absence, sous la formule qui claque — « grand seigneur méchant homme ». D’un seul heurt d’adjectifs, la pièce plante sa contradiction : l’éclat du rang et la cavité morale marchent ensemble. La prose vive, la verve du valet, l’allure de farce composent une gaieté qui ne rassure pas tout à fait ; on rit, mais ce rire regarde déjà ailleurs.</w:t>
            </w:r>
            <w:r>
              <w:br/>
            </w:r>
            <w:r>
              <w:rPr>
                <w:color w:val="1F2937"/>
                <w:sz w:val="22"/>
              </w:rPr>
              <w:t>Problématique — Comment ce portrait à distance fabrique‑t‑il un rire inquiet, capable de désacraliser le héros et d’annoncer sa chute ? Plan — I) Réquisitoire comique : la grandeur retournée ; II) Langage‑pouvoir : une domination par la parole ; III) Gravité sous la verve : menace morale en germe.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fill="FFFBEB"/>
            <w:tcBorders>
              <w:top w:val="single" w:sz="16" w:color="F59E0B"/>
              <w:left w:val="single" w:sz="16" w:color="F59E0B"/>
              <w:bottom w:val="single" w:sz="16" w:color="F59E0B"/>
              <w:right w:val="single" w:sz="16" w:color="F59E0B"/>
            </w:tcBorders>
          </w:tcPr>
          <w:p>
            <w:pPr>
              <w:jc w:val="left"/>
            </w:pPr>
            <w:r>
              <w:rPr>
                <w:b/>
                <w:color w:val="1E40AF"/>
                <w:sz w:val="24"/>
              </w:rPr>
              <w:t>Plan (bref) — déjà rédigé</w:t>
            </w:r>
          </w:p>
        </w:tc>
      </w:tr>
      <w:tr>
        <w:tc>
          <w:tcPr>
            <w:tcW w:type="dxa" w:w="9866"/>
            <w:shd w:fill="FFFBEB"/>
            <w:tcBorders>
              <w:top w:val="single" w:sz="16" w:color="F59E0B"/>
              <w:left w:val="single" w:sz="16" w:color="F59E0B"/>
              <w:bottom w:val="single" w:sz="16" w:color="F59E0B"/>
              <w:right w:val="single" w:sz="16" w:color="F59E0B"/>
            </w:tcBorders>
          </w:tcPr>
          <w:p>
            <w:pPr>
              <w:spacing w:line="240" w:lineRule="auto"/>
            </w:pPr>
            <w:r>
              <w:rPr>
                <w:color w:val="1F2937"/>
                <w:sz w:val="22"/>
              </w:rPr>
              <w:t>I) L’attaque de Sganarelle frappe par un réquisitoire comique qui retourne l’aura du « grand seigneur ».</w:t>
            </w:r>
            <w:r>
              <w:br/>
            </w:r>
            <w:r>
              <w:rPr>
                <w:color w:val="1F2937"/>
                <w:sz w:val="22"/>
              </w:rPr>
              <w:t>II) En mimant sa mécanique verbale, le valet révèle la parole de Dom Juan comme instrument de domination.</w:t>
            </w:r>
            <w:r>
              <w:br/>
            </w:r>
            <w:r>
              <w:rPr>
                <w:color w:val="1F2937"/>
                <w:sz w:val="22"/>
              </w:rPr>
              <w:t>III) Sous la fanfare rhétorique, s’installent déjà les signes d’un châtiment : un rire traversé d’inquiétude.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fill="EFF6FF"/>
            <w:tcBorders>
              <w:top w:val="single" w:sz="16" w:color="1D4ED8"/>
              <w:left w:val="single" w:sz="16" w:color="1D4ED8"/>
              <w:bottom w:val="single" w:sz="16" w:color="1D4ED8"/>
              <w:right w:val="single" w:sz="16" w:color="1D4ED8"/>
            </w:tcBorders>
          </w:tcPr>
          <w:p>
            <w:pPr>
              <w:jc w:val="left"/>
            </w:pPr>
            <w:r>
              <w:rPr>
                <w:b/>
                <w:color w:val="1E40AF"/>
                <w:sz w:val="24"/>
              </w:rPr>
              <w:t>I) Réquisitoire comique — grandeur retournée</w:t>
            </w:r>
          </w:p>
        </w:tc>
      </w:tr>
      <w:tr>
        <w:tc>
          <w:tcPr>
            <w:tcW w:type="dxa" w:w="9866"/>
            <w:shd w:fill="EFF6FF"/>
            <w:tcBorders>
              <w:top w:val="single" w:sz="16" w:color="1D4ED8"/>
              <w:left w:val="single" w:sz="16" w:color="1D4ED8"/>
              <w:bottom w:val="single" w:sz="16" w:color="1D4ED8"/>
              <w:right w:val="single" w:sz="16" w:color="1D4ED8"/>
            </w:tcBorders>
          </w:tcPr>
          <w:p>
            <w:pPr>
              <w:spacing w:line="240" w:lineRule="auto"/>
            </w:pPr>
            <w:r>
              <w:rPr>
                <w:color w:val="1F2937"/>
                <w:sz w:val="22"/>
              </w:rPr>
              <w:t>Idée directrice — La pointe « grand seigneur méchant homme » condense la contradiction et ouvre un réquisitoire où l’hyperbole amuse pour mieux mordre.</w:t>
            </w:r>
            <w:r>
              <w:br/>
            </w:r>
            <w:r>
              <w:rPr>
                <w:color w:val="1F2937"/>
                <w:sz w:val="22"/>
              </w:rPr>
              <w:t>Preuves — « grand seigneur méchant homme » ; « il change de maîtresse » ; « impie ».</w:t>
            </w:r>
            <w:r>
              <w:br/>
            </w:r>
            <w:r>
              <w:rPr>
                <w:color w:val="1F2937"/>
                <w:sz w:val="22"/>
              </w:rPr>
              <w:t>Analyse — Antithèse spectaculaire : le prestige social ne blanchit pas la bassesse ; accumulation et hyperboles gonflent la charge ; le lexique moral/ religieux distille une alarme. Le rire n’est pas décor : c’est une arme satirique qui désacralise le héros.</w:t>
            </w:r>
            <w:r>
              <w:br/>
            </w:r>
            <w:r>
              <w:rPr>
                <w:color w:val="1F2937"/>
                <w:sz w:val="22"/>
              </w:rPr>
              <w:t>Bilan/Transition — L’attaque amuse en retournant la grandeur ; elle prépare surtout l’écoute d’une parole qui impose : passage au langage‑pouvoir.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fill="EFF6FF"/>
            <w:tcBorders>
              <w:top w:val="single" w:sz="16" w:color="1D4ED8"/>
              <w:left w:val="single" w:sz="16" w:color="1D4ED8"/>
              <w:bottom w:val="single" w:sz="16" w:color="1D4ED8"/>
              <w:right w:val="single" w:sz="16" w:color="1D4ED8"/>
            </w:tcBorders>
          </w:tcPr>
          <w:p>
            <w:pPr>
              <w:jc w:val="left"/>
            </w:pPr>
            <w:r>
              <w:rPr>
                <w:b/>
                <w:color w:val="1E40AF"/>
                <w:sz w:val="24"/>
              </w:rPr>
              <w:t>II) Langage‑pouvoir — domination par la parole</w:t>
            </w:r>
          </w:p>
        </w:tc>
      </w:tr>
      <w:tr>
        <w:tc>
          <w:tcPr>
            <w:tcW w:type="dxa" w:w="9866"/>
            <w:shd w:fill="EFF6FF"/>
            <w:tcBorders>
              <w:top w:val="single" w:sz="16" w:color="1D4ED8"/>
              <w:left w:val="single" w:sz="16" w:color="1D4ED8"/>
              <w:bottom w:val="single" w:sz="16" w:color="1D4ED8"/>
              <w:right w:val="single" w:sz="16" w:color="1D4ED8"/>
            </w:tcBorders>
          </w:tcPr>
          <w:p>
            <w:pPr>
              <w:spacing w:line="240" w:lineRule="auto"/>
            </w:pPr>
            <w:r>
              <w:rPr>
                <w:color w:val="1F2937"/>
                <w:sz w:val="22"/>
              </w:rPr>
              <w:t>Idée directrice — Même absent, Dom Juan parle « par procuration » : Sganarelle mime ses cadences, révélant une rhétorique de prise et de fuite.</w:t>
            </w:r>
            <w:r>
              <w:br/>
            </w:r>
            <w:r>
              <w:rPr>
                <w:color w:val="1F2937"/>
                <w:sz w:val="22"/>
              </w:rPr>
              <w:t>Preuves — « je veux » ; « il faut » ; « séduire, jeter, repartir » (mécanique mimée).</w:t>
            </w:r>
            <w:r>
              <w:br/>
            </w:r>
            <w:r>
              <w:rPr>
                <w:color w:val="1F2937"/>
                <w:sz w:val="22"/>
              </w:rPr>
              <w:t>Analyse — Modalisation autoritaire (je veux/il faut) : volonté souveraine ; syntaxe saccadée : cadence prédatrice ; mise en abyme comique lorsque le valet moralise trop, signalant que la parole peut masquer autant qu’elle montre.</w:t>
            </w:r>
            <w:r>
              <w:br/>
            </w:r>
            <w:r>
              <w:rPr>
                <w:color w:val="1F2937"/>
                <w:sz w:val="22"/>
              </w:rPr>
              <w:t>Bilan/Transition — La scène apprend à se méfier de ce qui brille : la domination passe par le langage. Reste une ombre que le comique n’efface pas.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fill="EFF6FF"/>
            <w:tcBorders>
              <w:top w:val="single" w:sz="16" w:color="1D4ED8"/>
              <w:left w:val="single" w:sz="16" w:color="1D4ED8"/>
              <w:bottom w:val="single" w:sz="16" w:color="1D4ED8"/>
              <w:right w:val="single" w:sz="16" w:color="1D4ED8"/>
            </w:tcBorders>
          </w:tcPr>
          <w:p>
            <w:pPr>
              <w:jc w:val="left"/>
            </w:pPr>
            <w:r>
              <w:rPr>
                <w:b/>
                <w:color w:val="1E40AF"/>
                <w:sz w:val="24"/>
              </w:rPr>
              <w:t>III) Gravité sous la verve — menace en germe</w:t>
            </w:r>
          </w:p>
        </w:tc>
      </w:tr>
      <w:tr>
        <w:tc>
          <w:tcPr>
            <w:tcW w:type="dxa" w:w="9866"/>
            <w:shd w:fill="EFF6FF"/>
            <w:tcBorders>
              <w:top w:val="single" w:sz="16" w:color="1D4ED8"/>
              <w:left w:val="single" w:sz="16" w:color="1D4ED8"/>
              <w:bottom w:val="single" w:sz="16" w:color="1D4ED8"/>
              <w:right w:val="single" w:sz="16" w:color="1D4ED8"/>
            </w:tcBorders>
          </w:tcPr>
          <w:p>
            <w:pPr>
              <w:spacing w:line="240" w:lineRule="auto"/>
            </w:pPr>
            <w:r>
              <w:rPr>
                <w:color w:val="1F2937"/>
                <w:sz w:val="22"/>
              </w:rPr>
              <w:t>Idée directrice — Sous la verve, la gravité affleure : l’« impie » appelle l’idée d’un châtiment ; le valet parle beaucoup pour colmater sa peur.</w:t>
            </w:r>
            <w:r>
              <w:br/>
            </w:r>
            <w:r>
              <w:rPr>
                <w:color w:val="1F2937"/>
                <w:sz w:val="22"/>
              </w:rPr>
              <w:t>Preuves — « impie » ; allusions au châtiment ; tonalité qui durcit par endroits.</w:t>
            </w:r>
            <w:r>
              <w:br/>
            </w:r>
            <w:r>
              <w:rPr>
                <w:color w:val="1F2937"/>
                <w:sz w:val="22"/>
              </w:rPr>
              <w:t>Analyse — Lexique religieux : menace en sourdine ; mélange des tons (comique/gravité) : gaieté sous tension ; préfiguration d’un horizon tragique qui, plus tard, fera taire la parole.</w:t>
            </w:r>
            <w:r>
              <w:br/>
            </w:r>
            <w:r>
              <w:rPr>
                <w:color w:val="1F2937"/>
                <w:sz w:val="22"/>
              </w:rPr>
              <w:t>Bilan — Le portrait inaugural avertit : on rira, mais on jugera. La suite de la pièce accomplira cette promesse.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fill="ECFDF5"/>
            <w:tcBorders>
              <w:top w:val="single" w:sz="16" w:color="10B981"/>
              <w:left w:val="single" w:sz="16" w:color="10B981"/>
              <w:bottom w:val="single" w:sz="16" w:color="10B981"/>
              <w:right w:val="single" w:sz="16" w:color="10B981"/>
            </w:tcBorders>
          </w:tcPr>
          <w:p>
            <w:pPr>
              <w:jc w:val="left"/>
            </w:pPr>
            <w:r>
              <w:rPr>
                <w:b/>
                <w:color w:val="1E40AF"/>
                <w:sz w:val="24"/>
              </w:rPr>
              <w:t>Conclusion (rédigée)</w:t>
            </w:r>
          </w:p>
        </w:tc>
      </w:tr>
      <w:tr>
        <w:tc>
          <w:tcPr>
            <w:tcW w:type="dxa" w:w="9866"/>
            <w:shd w:fill="ECFDF5"/>
            <w:tcBorders>
              <w:top w:val="single" w:sz="16" w:color="10B981"/>
              <w:left w:val="single" w:sz="16" w:color="10B981"/>
              <w:bottom w:val="single" w:sz="16" w:color="10B981"/>
              <w:right w:val="single" w:sz="16" w:color="10B981"/>
            </w:tcBorders>
          </w:tcPr>
          <w:p>
            <w:pPr>
              <w:spacing w:line="240" w:lineRule="auto"/>
            </w:pPr>
            <w:r>
              <w:rPr>
                <w:color w:val="1F2937"/>
                <w:sz w:val="22"/>
              </w:rPr>
              <w:t>Bilan — L’ouverture réussit un double coup : faire rire par la verve d’un valet qui charge et inquiéter par la logique d’une parole dominatrice et par l’ombre d’un châtiment. L’antithèse initiale donne la clef : grandeur affichée, morale trouée.</w:t>
            </w:r>
            <w:r>
              <w:br/>
            </w:r>
            <w:r>
              <w:rPr>
                <w:color w:val="1F2937"/>
                <w:sz w:val="22"/>
              </w:rPr>
              <w:t>Ouverture — On prolongera par la scène du Pauvre (III,1), où l’impie passe du discours au geste : l’aumône refusée change le rire en malaise.</w:t>
            </w:r>
          </w:p>
        </w:tc>
      </w:tr>
    </w:tbl>
    <w:p/>
    <w:p>
      <w:r>
        <w:rPr>
          <w:b/>
        </w:rPr>
        <w:t>Citations brèves (3–10 mots) — sélection &amp; usage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933"/>
        <w:gridCol w:w="4933"/>
      </w:tblGrid>
      <w:tr>
        <w:tc>
          <w:tcPr>
            <w:tcW w:type="dxa" w:w="4933"/>
          </w:tcPr>
          <w:p>
            <w:r>
              <w:rPr>
                <w:b/>
              </w:rPr>
              <w:t>Citation courte</w:t>
            </w:r>
          </w:p>
        </w:tc>
        <w:tc>
          <w:tcPr>
            <w:tcW w:type="dxa" w:w="4933"/>
          </w:tcPr>
          <w:p>
            <w:r>
              <w:rPr>
                <w:b/>
              </w:rPr>
              <w:t>Effet / usage</w:t>
            </w:r>
          </w:p>
        </w:tc>
      </w:tr>
      <w:tr>
        <w:tc>
          <w:tcPr>
            <w:tcW w:type="dxa" w:w="4933"/>
          </w:tcPr>
          <w:p>
            <w:r>
              <w:t>« grand seigneur méchant homme »</w:t>
            </w:r>
          </w:p>
        </w:tc>
        <w:tc>
          <w:tcPr>
            <w:tcW w:type="dxa" w:w="4933"/>
          </w:tcPr>
          <w:p>
            <w:r>
              <w:t>Antithèse : prestige vs bassesse — frappe initiale.</w:t>
            </w:r>
          </w:p>
        </w:tc>
      </w:tr>
      <w:tr>
        <w:tc>
          <w:tcPr>
            <w:tcW w:type="dxa" w:w="4933"/>
          </w:tcPr>
          <w:p>
            <w:r>
              <w:t>« je veux »</w:t>
            </w:r>
          </w:p>
        </w:tc>
        <w:tc>
          <w:tcPr>
            <w:tcW w:type="dxa" w:w="4933"/>
          </w:tcPr>
          <w:p>
            <w:r>
              <w:t>Modalisation autoritaire — volonté souveraine.</w:t>
            </w:r>
          </w:p>
        </w:tc>
      </w:tr>
      <w:tr>
        <w:tc>
          <w:tcPr>
            <w:tcW w:type="dxa" w:w="4933"/>
          </w:tcPr>
          <w:p>
            <w:r>
              <w:t>« il faut »</w:t>
            </w:r>
          </w:p>
        </w:tc>
        <w:tc>
          <w:tcPr>
            <w:tcW w:type="dxa" w:w="4933"/>
          </w:tcPr>
          <w:p>
            <w:r>
              <w:t>Obligation imposée — pression rhétorique.</w:t>
            </w:r>
          </w:p>
        </w:tc>
      </w:tr>
      <w:tr>
        <w:tc>
          <w:tcPr>
            <w:tcW w:type="dxa" w:w="4933"/>
          </w:tcPr>
          <w:p>
            <w:r>
              <w:t>« il change de maîtresse »</w:t>
            </w:r>
          </w:p>
        </w:tc>
        <w:tc>
          <w:tcPr>
            <w:tcW w:type="dxa" w:w="4933"/>
          </w:tcPr>
          <w:p>
            <w:r>
              <w:t>Inconstance — accumulation comique et critique.</w:t>
            </w:r>
          </w:p>
        </w:tc>
      </w:tr>
      <w:tr>
        <w:tc>
          <w:tcPr>
            <w:tcW w:type="dxa" w:w="4933"/>
          </w:tcPr>
          <w:p>
            <w:r>
              <w:t>« impie »</w:t>
            </w:r>
          </w:p>
        </w:tc>
        <w:tc>
          <w:tcPr>
            <w:tcW w:type="dxa" w:w="4933"/>
          </w:tcPr>
          <w:p>
            <w:r>
              <w:t>Alerte morale/religieuse — menace en sourdine.</w:t>
            </w:r>
          </w:p>
        </w:tc>
      </w:tr>
    </w:tbl>
    <w:p/>
    <w:sectPr w:rsidR="00FC693F" w:rsidRPr="0006063C" w:rsidSect="00034616">
      <w:footerReference w:type="default" r:id="rId9"/>
      <w:pgSz w:w="11906" w:h="16838"/>
      <w:pgMar w:top="1020" w:right="1020" w:bottom="102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586168"/>
        <w:sz w:val="18"/>
      </w:rPr>
      <w:t>lecoursgratuit.com — Fiche méthode pré-remplie (Dom Juan I,2)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