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color w:val="00468C"/>
          <w:sz w:val="36"/>
        </w:rPr>
        <w:t>Fiche E6 – Distributeur (Version pré-remplie – Exemple)</w:t>
      </w:r>
    </w:p>
    <w:p>
      <w:pPr>
        <w:jc w:val="center"/>
      </w:pPr>
      <w:r>
        <w:rPr>
          <w:i/>
          <w:color w:val="5A5A5A"/>
          <w:sz w:val="20"/>
        </w:rPr>
        <w:t>Situation professionnelle : Animation d’une opération « Mise en avant gamme bio » en grande surface alimentaire</w:t>
      </w:r>
    </w:p>
    <w:p/>
    <w:p>
      <w:pPr>
        <w:shd w:fill="0066CC"/>
      </w:pPr>
      <w:r>
        <w:rPr>
          <w:b/>
          <w:color w:val="FFFFFF"/>
          <w:sz w:val="24"/>
        </w:rPr>
        <w:t xml:space="preserve">  1. Identification de la situation  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t>Nom et adresse de l’enseigne :</w:t>
            </w:r>
          </w:p>
        </w:tc>
        <w:tc>
          <w:tcPr>
            <w:tcW w:type="dxa" w:w="5112"/>
          </w:tcPr>
          <w:p>
            <w:r>
              <w:t>Hypermarché HYPERPLUS – ZAC Les Rives du Lac, 34000 Montpellier</w:t>
            </w:r>
          </w:p>
        </w:tc>
      </w:tr>
      <w:tr>
        <w:tc>
          <w:tcPr>
            <w:tcW w:type="dxa" w:w="5112"/>
          </w:tcPr>
          <w:p>
            <w:r>
              <w:t>Intitulé de la situation :</w:t>
            </w:r>
          </w:p>
        </w:tc>
        <w:tc>
          <w:tcPr>
            <w:tcW w:type="dxa" w:w="5112"/>
          </w:tcPr>
          <w:p>
            <w:r>
              <w:t>Animation d’une opération commerciale « Semaine Bio » en rayon épicerie</w:t>
            </w:r>
          </w:p>
        </w:tc>
      </w:tr>
      <w:tr>
        <w:tc>
          <w:tcPr>
            <w:tcW w:type="dxa" w:w="5112"/>
          </w:tcPr>
          <w:p>
            <w:r>
              <w:t>Période de réalisation :</w:t>
            </w:r>
          </w:p>
        </w:tc>
        <w:tc>
          <w:tcPr>
            <w:tcW w:type="dxa" w:w="5112"/>
          </w:tcPr>
          <w:p>
            <w:r>
              <w:t>Du 14 au 26 mars 20..</w:t>
            </w:r>
          </w:p>
        </w:tc>
      </w:tr>
      <w:tr>
        <w:tc>
          <w:tcPr>
            <w:tcW w:type="dxa" w:w="5112"/>
          </w:tcPr>
          <w:p>
            <w:r>
              <w:t>Rôle de l’étudiant :</w:t>
            </w:r>
          </w:p>
        </w:tc>
        <w:tc>
          <w:tcPr>
            <w:tcW w:type="dxa" w:w="5112"/>
          </w:tcPr>
          <w:p>
            <w:r>
              <w:t>Employé commercial – référent opération bio</w:t>
            </w:r>
          </w:p>
        </w:tc>
      </w:tr>
    </w:tbl>
    <w:p/>
    <w:p>
      <w:pPr>
        <w:shd w:fill="009900"/>
      </w:pPr>
      <w:r>
        <w:rPr>
          <w:b/>
          <w:color w:val="FFFFFF"/>
          <w:sz w:val="24"/>
        </w:rPr>
        <w:t xml:space="preserve">  2. Présentation de l’unité commerciale  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t>Type de point de vente :</w:t>
            </w:r>
          </w:p>
        </w:tc>
        <w:tc>
          <w:tcPr>
            <w:tcW w:type="dxa" w:w="5112"/>
          </w:tcPr>
          <w:p>
            <w:r>
              <w:t>Hypermarché de 6 500 m², dont 60 m² dédiés au bio.</w:t>
            </w:r>
          </w:p>
        </w:tc>
      </w:tr>
      <w:tr>
        <w:tc>
          <w:tcPr>
            <w:tcW w:type="dxa" w:w="5112"/>
          </w:tcPr>
          <w:p>
            <w:r>
              <w:t>Zone de chalandise :</w:t>
            </w:r>
          </w:p>
        </w:tc>
        <w:tc>
          <w:tcPr>
            <w:tcW w:type="dxa" w:w="5112"/>
          </w:tcPr>
          <w:p>
            <w:r>
              <w:t>Clientèle familiale, sensibilité au bio et au local.</w:t>
            </w:r>
          </w:p>
        </w:tc>
      </w:tr>
      <w:tr>
        <w:tc>
          <w:tcPr>
            <w:tcW w:type="dxa" w:w="5112"/>
          </w:tcPr>
          <w:p>
            <w:r>
              <w:t>Positionnement :</w:t>
            </w:r>
          </w:p>
        </w:tc>
        <w:tc>
          <w:tcPr>
            <w:tcW w:type="dxa" w:w="5112"/>
          </w:tcPr>
          <w:p>
            <w:r>
              <w:t>Bon rapport qualité/prix, montée en gamme sur le bio.</w:t>
            </w:r>
          </w:p>
        </w:tc>
      </w:tr>
      <w:tr>
        <w:tc>
          <w:tcPr>
            <w:tcW w:type="dxa" w:w="5112"/>
          </w:tcPr>
          <w:p>
            <w:r>
              <w:t>Contexte :</w:t>
            </w:r>
          </w:p>
        </w:tc>
        <w:tc>
          <w:tcPr>
            <w:tcW w:type="dxa" w:w="5112"/>
          </w:tcPr>
          <w:p>
            <w:r>
              <w:t>Opération « Semaine Bio » sur 15 jours, forte concurrence spécialisée.</w:t>
            </w:r>
          </w:p>
        </w:tc>
      </w:tr>
    </w:tbl>
    <w:p/>
    <w:p>
      <w:pPr>
        <w:shd w:fill="CC6600"/>
      </w:pPr>
      <w:r>
        <w:rPr>
          <w:b/>
          <w:color w:val="FFFFFF"/>
          <w:sz w:val="24"/>
        </w:rPr>
        <w:t xml:space="preserve">  3. Problématique commerciale et objectifs  </w:t>
      </w:r>
    </w:p>
    <w:p>
      <w:r>
        <w:t>Problématique : Comment augmenter le CA du rayon bio tout en recrutant de nouveaux clients ?</w:t>
      </w:r>
    </w:p>
    <w:p>
      <w:r>
        <w:t xml:space="preserve">Objectifs quantitatifs : +20% de CA, hausse du panier moyen de 18€ à 22€. </w:t>
      </w:r>
    </w:p>
    <w:p>
      <w:r>
        <w:t>Objectifs qualitatifs : Renforcer l’image « bio », valoriser les marques locales, réduire les ruptures.</w:t>
      </w:r>
    </w:p>
    <w:p/>
    <w:p>
      <w:pPr>
        <w:shd w:fill="800080"/>
      </w:pPr>
      <w:r>
        <w:rPr>
          <w:b/>
          <w:color w:val="FFFFFF"/>
          <w:sz w:val="24"/>
        </w:rPr>
        <w:t xml:space="preserve">  4. Description des activités réalisées  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6"/>
        <w:gridCol w:w="2556"/>
        <w:gridCol w:w="2556"/>
        <w:gridCol w:w="2556"/>
      </w:tblGrid>
      <w:tr>
        <w:tc>
          <w:tcPr>
            <w:tcW w:type="dxa" w:w="2556"/>
          </w:tcPr>
          <w:p>
            <w:r>
              <w:t>Étape</w:t>
            </w:r>
          </w:p>
        </w:tc>
        <w:tc>
          <w:tcPr>
            <w:tcW w:type="dxa" w:w="2556"/>
          </w:tcPr>
          <w:p>
            <w:r>
              <w:t>Actions</w:t>
            </w:r>
          </w:p>
        </w:tc>
        <w:tc>
          <w:tcPr>
            <w:tcW w:type="dxa" w:w="2556"/>
          </w:tcPr>
          <w:p>
            <w:r>
              <w:t>Outils</w:t>
            </w:r>
          </w:p>
        </w:tc>
        <w:tc>
          <w:tcPr>
            <w:tcW w:type="dxa" w:w="2556"/>
          </w:tcPr>
          <w:p>
            <w:r>
              <w:t>Lien avec compétences</w:t>
            </w:r>
          </w:p>
        </w:tc>
      </w:tr>
      <w:tr>
        <w:tc>
          <w:tcPr>
            <w:tcW w:type="dxa" w:w="2556"/>
          </w:tcPr>
          <w:p>
            <w:r>
              <w:t>Préparation</w:t>
            </w:r>
          </w:p>
        </w:tc>
        <w:tc>
          <w:tcPr>
            <w:tcW w:type="dxa" w:w="2556"/>
          </w:tcPr>
          <w:p>
            <w:r>
              <w:t>Analyse ventes N-1, vérification stocks</w:t>
            </w:r>
          </w:p>
        </w:tc>
        <w:tc>
          <w:tcPr>
            <w:tcW w:type="dxa" w:w="2556"/>
          </w:tcPr>
          <w:p>
            <w:r>
              <w:t>Tableaux Excel, logiciel ventes</w:t>
            </w:r>
          </w:p>
        </w:tc>
        <w:tc>
          <w:tcPr>
            <w:tcW w:type="dxa" w:w="2556"/>
          </w:tcPr>
          <w:p>
            <w:r>
              <w:t>Gestion de l’offre, anticipation</w:t>
            </w:r>
          </w:p>
        </w:tc>
      </w:tr>
      <w:tr>
        <w:tc>
          <w:tcPr>
            <w:tcW w:type="dxa" w:w="2556"/>
          </w:tcPr>
          <w:p>
            <w:r>
              <w:t>Implantation</w:t>
            </w:r>
          </w:p>
        </w:tc>
        <w:tc>
          <w:tcPr>
            <w:tcW w:type="dxa" w:w="2556"/>
          </w:tcPr>
          <w:p>
            <w:r>
              <w:t>Mise en place tête de gondole bio</w:t>
            </w:r>
          </w:p>
        </w:tc>
        <w:tc>
          <w:tcPr>
            <w:tcW w:type="dxa" w:w="2556"/>
          </w:tcPr>
          <w:p>
            <w:r>
              <w:t>Planogramme, PLV/ILV</w:t>
            </w:r>
          </w:p>
        </w:tc>
        <w:tc>
          <w:tcPr>
            <w:tcW w:type="dxa" w:w="2556"/>
          </w:tcPr>
          <w:p>
            <w:r>
              <w:t>Mise en avant produit</w:t>
            </w:r>
          </w:p>
        </w:tc>
      </w:tr>
      <w:tr>
        <w:tc>
          <w:tcPr>
            <w:tcW w:type="dxa" w:w="2556"/>
          </w:tcPr>
          <w:p>
            <w:r>
              <w:t>Animation</w:t>
            </w:r>
          </w:p>
        </w:tc>
        <w:tc>
          <w:tcPr>
            <w:tcW w:type="dxa" w:w="2556"/>
          </w:tcPr>
          <w:p>
            <w:r>
              <w:t>Conseil client, réassort</w:t>
            </w:r>
          </w:p>
        </w:tc>
        <w:tc>
          <w:tcPr>
            <w:tcW w:type="dxa" w:w="2556"/>
          </w:tcPr>
          <w:p>
            <w:r>
              <w:t>Fiches argumentaires</w:t>
            </w:r>
          </w:p>
        </w:tc>
        <w:tc>
          <w:tcPr>
            <w:tcW w:type="dxa" w:w="2556"/>
          </w:tcPr>
          <w:p>
            <w:r>
              <w:t>Relation client &amp; vente</w:t>
            </w:r>
          </w:p>
        </w:tc>
      </w:tr>
    </w:tbl>
    <w:p/>
    <w:p>
      <w:pPr>
        <w:shd w:fill="008080"/>
      </w:pPr>
      <w:r>
        <w:rPr>
          <w:b/>
          <w:color w:val="FFFFFF"/>
          <w:sz w:val="24"/>
        </w:rPr>
        <w:t xml:space="preserve">  5. Résultats et indicateurs  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6"/>
        <w:gridCol w:w="2556"/>
        <w:gridCol w:w="2556"/>
        <w:gridCol w:w="2556"/>
      </w:tblGrid>
      <w:tr>
        <w:tc>
          <w:tcPr>
            <w:tcW w:type="dxa" w:w="2556"/>
          </w:tcPr>
          <w:p>
            <w:r>
              <w:t>Indicateur</w:t>
            </w:r>
          </w:p>
        </w:tc>
        <w:tc>
          <w:tcPr>
            <w:tcW w:type="dxa" w:w="2556"/>
          </w:tcPr>
          <w:p>
            <w:r>
              <w:t>Avant</w:t>
            </w:r>
          </w:p>
        </w:tc>
        <w:tc>
          <w:tcPr>
            <w:tcW w:type="dxa" w:w="2556"/>
          </w:tcPr>
          <w:p>
            <w:r>
              <w:t>Après</w:t>
            </w:r>
          </w:p>
        </w:tc>
        <w:tc>
          <w:tcPr>
            <w:tcW w:type="dxa" w:w="2556"/>
          </w:tcPr>
          <w:p>
            <w:r>
              <w:t>Analyse</w:t>
            </w:r>
          </w:p>
        </w:tc>
      </w:tr>
      <w:tr>
        <w:tc>
          <w:tcPr>
            <w:tcW w:type="dxa" w:w="2556"/>
          </w:tcPr>
          <w:p>
            <w:r>
              <w:t>Chiffre d’affaires</w:t>
            </w:r>
          </w:p>
        </w:tc>
        <w:tc>
          <w:tcPr>
            <w:tcW w:type="dxa" w:w="2556"/>
          </w:tcPr>
          <w:p>
            <w:r>
              <w:t>12 500 €</w:t>
            </w:r>
          </w:p>
        </w:tc>
        <w:tc>
          <w:tcPr>
            <w:tcW w:type="dxa" w:w="2556"/>
          </w:tcPr>
          <w:p>
            <w:r>
              <w:t>15 300 €</w:t>
            </w:r>
          </w:p>
        </w:tc>
        <w:tc>
          <w:tcPr>
            <w:tcW w:type="dxa" w:w="2556"/>
          </w:tcPr>
          <w:p>
            <w:r>
              <w:t>+22 %, objectif atteint</w:t>
            </w:r>
          </w:p>
        </w:tc>
      </w:tr>
      <w:tr>
        <w:tc>
          <w:tcPr>
            <w:tcW w:type="dxa" w:w="2556"/>
          </w:tcPr>
          <w:p>
            <w:r>
              <w:t>Panier moyen</w:t>
            </w:r>
          </w:p>
        </w:tc>
        <w:tc>
          <w:tcPr>
            <w:tcW w:type="dxa" w:w="2556"/>
          </w:tcPr>
          <w:p>
            <w:r>
              <w:t>18 €</w:t>
            </w:r>
          </w:p>
        </w:tc>
        <w:tc>
          <w:tcPr>
            <w:tcW w:type="dxa" w:w="2556"/>
          </w:tcPr>
          <w:p>
            <w:r>
              <w:t>21,80 €</w:t>
            </w:r>
          </w:p>
        </w:tc>
        <w:tc>
          <w:tcPr>
            <w:tcW w:type="dxa" w:w="2556"/>
          </w:tcPr>
          <w:p>
            <w:r>
              <w:t>+21 %, ventes croisées</w:t>
            </w:r>
          </w:p>
        </w:tc>
      </w:tr>
      <w:tr>
        <w:tc>
          <w:tcPr>
            <w:tcW w:type="dxa" w:w="2556"/>
          </w:tcPr>
          <w:p>
            <w:r>
              <w:t>Taux de transformation</w:t>
            </w:r>
          </w:p>
        </w:tc>
        <w:tc>
          <w:tcPr>
            <w:tcW w:type="dxa" w:w="2556"/>
          </w:tcPr>
          <w:p>
            <w:r>
              <w:t>19%</w:t>
            </w:r>
          </w:p>
        </w:tc>
        <w:tc>
          <w:tcPr>
            <w:tcW w:type="dxa" w:w="2556"/>
          </w:tcPr>
          <w:p>
            <w:r>
              <w:t>23%</w:t>
            </w:r>
          </w:p>
        </w:tc>
        <w:tc>
          <w:tcPr>
            <w:tcW w:type="dxa" w:w="2556"/>
          </w:tcPr>
          <w:p>
            <w:r>
              <w:t>Amélioration visibilité</w:t>
            </w:r>
          </w:p>
        </w:tc>
      </w:tr>
      <w:tr>
        <w:tc>
          <w:tcPr>
            <w:tcW w:type="dxa" w:w="2556"/>
          </w:tcPr>
          <w:p>
            <w:r>
              <w:t>Indice de vente</w:t>
            </w:r>
          </w:p>
        </w:tc>
        <w:tc>
          <w:tcPr>
            <w:tcW w:type="dxa" w:w="2556"/>
          </w:tcPr>
          <w:p>
            <w:r>
              <w:t>1,3</w:t>
            </w:r>
          </w:p>
        </w:tc>
        <w:tc>
          <w:tcPr>
            <w:tcW w:type="dxa" w:w="2556"/>
          </w:tcPr>
          <w:p>
            <w:r>
              <w:t>1,7</w:t>
            </w:r>
          </w:p>
        </w:tc>
        <w:tc>
          <w:tcPr>
            <w:tcW w:type="dxa" w:w="2556"/>
          </w:tcPr>
          <w:p>
            <w:r>
              <w:t>Plus d’achats multiples</w:t>
            </w:r>
          </w:p>
        </w:tc>
      </w:tr>
      <w:tr>
        <w:tc>
          <w:tcPr>
            <w:tcW w:type="dxa" w:w="2556"/>
          </w:tcPr>
          <w:p>
            <w:r>
              <w:t>Satisfaction client</w:t>
            </w:r>
          </w:p>
        </w:tc>
        <w:tc>
          <w:tcPr>
            <w:tcW w:type="dxa" w:w="2556"/>
          </w:tcPr>
          <w:p>
            <w:r>
              <w:t>2 réclamations</w:t>
            </w:r>
          </w:p>
        </w:tc>
        <w:tc>
          <w:tcPr>
            <w:tcW w:type="dxa" w:w="2556"/>
          </w:tcPr>
          <w:p>
            <w:r>
              <w:t>0</w:t>
            </w:r>
          </w:p>
        </w:tc>
        <w:tc>
          <w:tcPr>
            <w:tcW w:type="dxa" w:w="2556"/>
          </w:tcPr>
          <w:p>
            <w:r>
              <w:t>Bonne lisibilité du rayon</w:t>
            </w:r>
          </w:p>
        </w:tc>
      </w:tr>
    </w:tbl>
    <w:p/>
    <w:p>
      <w:pPr>
        <w:shd w:fill="CC0000"/>
      </w:pPr>
      <w:r>
        <w:rPr>
          <w:b/>
          <w:color w:val="FFFFFF"/>
          <w:sz w:val="24"/>
        </w:rPr>
        <w:t xml:space="preserve">  6. Compétences mobilisées  </w:t>
      </w:r>
    </w:p>
    <w:p>
      <w:r>
        <w:t>☒ Gérer la relation client – Conseil, argumentation bio.</w:t>
      </w:r>
    </w:p>
    <w:p>
      <w:r>
        <w:t>☒ Développer l’offre – Mise en avant produits bio.</w:t>
      </w:r>
    </w:p>
    <w:p>
      <w:r>
        <w:t>☒ Gérer l’unité commerciale – Suivi des stocks, réassort.</w:t>
      </w:r>
    </w:p>
    <w:p>
      <w:r>
        <w:t>☒ Analyser les performances – Suivi CA et PM.</w:t>
      </w:r>
    </w:p>
    <w:p>
      <w:r>
        <w:t>☐ Manager l’équipe commerciale.</w:t>
      </w:r>
    </w:p>
    <w:p/>
    <w:p>
      <w:pPr>
        <w:shd w:fill="660099"/>
      </w:pPr>
      <w:r>
        <w:rPr>
          <w:b/>
          <w:color w:val="FFFFFF"/>
          <w:sz w:val="24"/>
        </w:rPr>
        <w:t xml:space="preserve">  7. Analyse personnelle  </w:t>
      </w:r>
    </w:p>
    <w:p>
      <w:r>
        <w:t>Difficulté rencontrée : Gestion des pics d’affluence → préparation de chariots de réserve.</w:t>
      </w:r>
    </w:p>
    <w:p>
      <w:r>
        <w:t>Apprentissage : Importance des labels, maîtrise des fiches produits.</w:t>
      </w:r>
    </w:p>
    <w:p>
      <w:r>
        <w:t>Positionnement de l’enseigne : Montée en gamme bio.</w:t>
      </w:r>
    </w:p>
    <w:p>
      <w:r>
        <w:t>Améliorations : Ajouter des dégustations, plus de promotions en digital.</w:t>
      </w:r>
    </w:p>
    <w:p/>
    <w:p>
      <w:pPr>
        <w:shd w:fill="006699"/>
      </w:pPr>
      <w:r>
        <w:rPr>
          <w:b/>
          <w:color w:val="FFFFFF"/>
          <w:sz w:val="24"/>
        </w:rPr>
        <w:t xml:space="preserve">  8. Validation tuteur &amp; intégration E6  </w:t>
      </w:r>
    </w:p>
    <w:p>
      <w:r>
        <w:t>Avis du tuteur : Mission réalisée avec sérieux, objectifs atteints.</w:t>
      </w:r>
    </w:p>
    <w:p>
      <w:r>
        <w:t>Signature et cachet : …………………………</w:t>
      </w:r>
    </w:p>
    <w:p>
      <w:r>
        <w:t>Utilisation E6 : Situation intégrée au thème « Développement d’une offre responsable ».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6"/>
      </w:rPr>
      <w:t>Modèle professionnel – lecoursgratuit.com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b/>
        <w:color w:val="0066CC"/>
        <w:sz w:val="20"/>
      </w:rPr>
      <w:t>BTS MUC – Épreuve E6 · Situation professionnelle en unité commerciale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