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512DA8"/>
          </w:tcPr>
          <w:p>
            <w:pPr>
              <w:jc w:val="center"/>
            </w:pPr>
            <w:r>
              <w:rPr>
                <w:b/>
                <w:color w:val="FFFFFF"/>
                <w:sz w:val="40"/>
              </w:rPr>
              <w:t>SIPOC — Services / Back-office (Modèle A4 à remplir)</w:t>
            </w:r>
          </w:p>
        </w:tc>
      </w:tr>
    </w:tbl>
    <w:p>
      <w:pPr>
        <w:jc w:val="center"/>
      </w:pPr>
      <w:r>
        <w:t>Affiche + tableau à compléter : cadrage, SIPOC, étapes du process, KPI/CTQ, risques et signatures.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Cadrage &amp; périmètre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Processus / Titre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Propriétaire (Process Owner)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Objectif (CTQ) / Valeur client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Périmètre (de… à…)</w:t>
            </w:r>
          </w:p>
          <w:p>
            <w:r>
              <w:t xml:space="preserve">                                                                                </w:t>
            </w:r>
          </w:p>
        </w:tc>
      </w:tr>
      <w:tr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Parties prenantes clés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Déclencheur / Entrée du flux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Date / Version</w:t>
            </w:r>
          </w:p>
          <w:p>
            <w:r>
              <w:t xml:space="preserve">                                                                                </w:t>
            </w:r>
          </w:p>
        </w:tc>
        <w:tc>
          <w:tcPr>
            <w:tcW w:type="dxa" w:w="2635"/>
            <w:top w:w="100" w:type="dxa"/>
            <w:start w:w="120" w:type="dxa"/>
            <w:bottom w:w="140" w:type="dxa"/>
            <w:end w:w="120" w:type="dxa"/>
          </w:tcPr>
          <w:p>
            <w:r>
              <w:rPr>
                <w:b/>
                <w:sz w:val="18"/>
              </w:rPr>
              <w:t>Contraintes / Règles</w:t>
            </w:r>
          </w:p>
          <w:p>
            <w:r>
              <w:t xml:space="preserve">                                                                                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SIPOC — Vue d’ensemble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3E5F5"/>
          </w:tcPr>
          <w:p>
            <w:pPr>
              <w:jc w:val="center"/>
            </w:pPr>
            <w:r>
              <w:rPr>
                <w:b/>
                <w:sz w:val="18"/>
              </w:rPr>
              <w:t>SUPPLIERS (Fournisseurs)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3E5F5"/>
          </w:tcPr>
          <w:p>
            <w:pPr>
              <w:jc w:val="center"/>
            </w:pPr>
            <w:r>
              <w:rPr>
                <w:b/>
                <w:sz w:val="18"/>
              </w:rPr>
              <w:t>INPUTS (Entrées)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3E5F5"/>
          </w:tcPr>
          <w:p>
            <w:pPr>
              <w:jc w:val="center"/>
            </w:pPr>
            <w:r>
              <w:rPr>
                <w:b/>
                <w:sz w:val="18"/>
              </w:rPr>
              <w:t>PROCESS (Étapes 1→n)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3E5F5"/>
          </w:tcPr>
          <w:p>
            <w:pPr>
              <w:jc w:val="center"/>
            </w:pPr>
            <w:r>
              <w:rPr>
                <w:b/>
                <w:sz w:val="18"/>
              </w:rPr>
              <w:t>OUTPUTS (Sorties)</w:t>
            </w:r>
          </w:p>
        </w:tc>
        <w:tc>
          <w:tcPr>
            <w:tcW w:type="dxa" w:w="2108"/>
            <w:top w:w="100" w:type="dxa"/>
            <w:start w:w="120" w:type="dxa"/>
            <w:bottom w:w="100" w:type="dxa"/>
            <w:end w:w="120" w:type="dxa"/>
            <w:shd w:val="clear" w:fill="F3E5F5"/>
          </w:tcPr>
          <w:p>
            <w:pPr>
              <w:jc w:val="center"/>
            </w:pPr>
            <w:r>
              <w:rPr>
                <w:b/>
                <w:sz w:val="18"/>
              </w:rPr>
              <w:t>CUSTOMERS (Clients)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Étapes du process — description détaillée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1757"/>
        <w:gridCol w:w="1757"/>
        <w:gridCol w:w="1757"/>
        <w:gridCol w:w="1757"/>
        <w:gridCol w:w="1757"/>
        <w:gridCol w:w="1757"/>
      </w:tblGrid>
      <w:tr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# Étape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Description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Acteur / Rôle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Outils / Systèmes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CTQ liée</w:t>
            </w:r>
          </w:p>
        </w:tc>
        <w:tc>
          <w:tcPr>
            <w:tcW w:type="dxa" w:w="1757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Doc / Réf.</w:t>
            </w:r>
          </w:p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1757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Indicateurs (KPI) &amp; CTQ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Indicateur / formule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Cible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Fréquence / Source de données</w:t>
            </w:r>
          </w:p>
        </w:tc>
        <w:tc>
          <w:tcPr>
            <w:tcW w:type="dxa" w:w="2635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Responsable</w:t>
            </w:r>
          </w:p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635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Risques &amp; contrôles (AMDEC / causes critiques)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2108"/>
        <w:gridCol w:w="2108"/>
        <w:gridCol w:w="2108"/>
        <w:gridCol w:w="2108"/>
        <w:gridCol w:w="2108"/>
      </w:tblGrid>
      <w:tr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Risque / Cause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Effet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Gravité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Maîtrise existante</w:t>
            </w:r>
          </w:p>
        </w:tc>
        <w:tc>
          <w:tcPr>
            <w:tcW w:type="dxa" w:w="2108"/>
            <w:top w:w="90" w:type="dxa"/>
            <w:start w:w="120" w:type="dxa"/>
            <w:bottom w:w="90" w:type="dxa"/>
            <w:end w:w="120" w:type="dxa"/>
          </w:tcPr>
          <w:p>
            <w:pPr>
              <w:jc w:val="center"/>
            </w:pPr>
            <w:r>
              <w:rPr>
                <w:b/>
                <w:sz w:val="18"/>
              </w:rPr>
              <w:t>Actions / Responsable / Échéance</w:t>
            </w:r>
          </w:p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  <w:tr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  <w:tc>
          <w:tcPr>
            <w:tcW w:type="dxa" w:w="2108"/>
            <w:top w:w="80" w:type="dxa"/>
            <w:start w:w="120" w:type="dxa"/>
            <w:bottom w:w="80" w:type="dxa"/>
            <w:end w:w="120" w:type="dxa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0540"/>
      </w:tblGrid>
      <w:tr>
        <w:tc>
          <w:tcPr>
            <w:tcW w:type="dxa" w:w="10540"/>
            <w:shd w:val="clear" w:fill="EDE7F6"/>
          </w:tcPr>
          <w:p>
            <w:pPr>
              <w:jc w:val="left"/>
            </w:pPr>
            <w:r>
              <w:rPr>
                <w:b/>
                <w:color w:val="000000"/>
                <w:sz w:val="26"/>
              </w:rPr>
              <w:t>Validation &amp; diffusion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6A1B9A"/>
          <w:left w:val="single" w:sz="12" w:color="6A1B9A"/>
          <w:bottom w:val="single" w:sz="12" w:color="6A1B9A"/>
          <w:right w:val="single" w:sz="12" w:color="6A1B9A"/>
          <w:insideH w:val="single" w:sz="6" w:color="6A1B9A"/>
          <w:insideV w:val="single" w:sz="6" w:color="6A1B9A"/>
        </w:tblBorders>
      </w:tblPr>
      <w:tblGrid>
        <w:gridCol w:w="3513"/>
        <w:gridCol w:w="3513"/>
        <w:gridCol w:w="3513"/>
      </w:tblGrid>
      <w:tr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Process Owner / Référent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Direction / Sponsor — Visa / Date : __________________</w:t>
            </w:r>
          </w:p>
        </w:tc>
        <w:tc>
          <w:tcPr>
            <w:tcW w:type="dxa" w:w="3513"/>
            <w:top w:w="140" w:type="dxa"/>
            <w:start w:w="120" w:type="dxa"/>
            <w:bottom w:w="160" w:type="dxa"/>
            <w:end w:w="120" w:type="dxa"/>
          </w:tcPr>
          <w:p>
            <w:r>
              <w:rPr>
                <w:sz w:val="20"/>
              </w:rPr>
              <w:t>Diffusion (équipe / service) — Visa / Date : 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8"/>
      </w:rPr>
      <w:t>lecoursgratuit.com — Modèle SIPOC (Services / Back-office) — A4 Affiche &amp; tableau à remplir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